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03" w:rsidRDefault="002C4503" w:rsidP="007F114F">
      <w:pPr>
        <w:ind w:firstLine="567"/>
        <w:jc w:val="center"/>
        <w:rPr>
          <w:b/>
        </w:rPr>
      </w:pPr>
      <w:r w:rsidRPr="00324801">
        <w:rPr>
          <w:b/>
        </w:rPr>
        <w:t>До уваги суб’єктів господарювання</w:t>
      </w:r>
    </w:p>
    <w:p w:rsidR="002C4503" w:rsidRPr="00324801" w:rsidRDefault="002C4503" w:rsidP="007F114F">
      <w:pPr>
        <w:ind w:firstLine="567"/>
        <w:jc w:val="center"/>
        <w:rPr>
          <w:b/>
        </w:rPr>
      </w:pPr>
      <w:r>
        <w:rPr>
          <w:b/>
        </w:rPr>
        <w:t>На що треба звернути увагу у зв’язку з проведенням планування заходів держа</w:t>
      </w:r>
      <w:r w:rsidR="007F114F">
        <w:rPr>
          <w:b/>
        </w:rPr>
        <w:t>вного нагляду (контролю) на 2022</w:t>
      </w:r>
      <w:r>
        <w:rPr>
          <w:b/>
        </w:rPr>
        <w:t xml:space="preserve"> рік</w:t>
      </w:r>
    </w:p>
    <w:p w:rsidR="002C4503" w:rsidRPr="00447A90" w:rsidRDefault="002C4503" w:rsidP="00DB5CCD">
      <w:pPr>
        <w:ind w:firstLine="567"/>
        <w:jc w:val="both"/>
      </w:pPr>
    </w:p>
    <w:p w:rsidR="002C4503" w:rsidRPr="00447A90" w:rsidRDefault="002C4503" w:rsidP="00510934">
      <w:pPr>
        <w:ind w:firstLine="567"/>
        <w:jc w:val="both"/>
        <w:rPr>
          <w:shd w:val="clear" w:color="auto" w:fill="FFFFFF"/>
        </w:rPr>
      </w:pPr>
      <w:r w:rsidRPr="00447A90">
        <w:rPr>
          <w:shd w:val="clear" w:color="auto" w:fill="FFFFFF"/>
        </w:rPr>
        <w:t>Узагальнивши досвід, отриманий під час планування заходів державного нагляду (контролю) у попередніх планових періодах, Державна регуляторна служба України, з метою здійснення інформаційного підтримки суб’єктів господарювання, підготувала рекомендації, дотримання яких має забезпечити їх ефективну взаємодію з Державною регуляторною службою України та органами державного нагляду (контролю) під час проходження етапу планування заходів держа</w:t>
      </w:r>
      <w:r w:rsidR="007F114F">
        <w:rPr>
          <w:shd w:val="clear" w:color="auto" w:fill="FFFFFF"/>
        </w:rPr>
        <w:t>вного нагляду (контролю) на 2022</w:t>
      </w:r>
      <w:r w:rsidRPr="00447A90">
        <w:rPr>
          <w:shd w:val="clear" w:color="auto" w:fill="FFFFFF"/>
        </w:rPr>
        <w:t xml:space="preserve"> рік.</w:t>
      </w:r>
    </w:p>
    <w:p w:rsidR="002C4503" w:rsidRPr="00447A90" w:rsidRDefault="002C4503" w:rsidP="00DB5CCD">
      <w:pPr>
        <w:ind w:firstLine="567"/>
        <w:jc w:val="both"/>
      </w:pPr>
    </w:p>
    <w:p w:rsidR="002C4503" w:rsidRPr="00447A90" w:rsidRDefault="002C4503" w:rsidP="00DB5CCD">
      <w:pPr>
        <w:ind w:firstLine="567"/>
        <w:jc w:val="both"/>
        <w:rPr>
          <w:b/>
          <w:bCs/>
        </w:rPr>
      </w:pPr>
      <w:r w:rsidRPr="00447A90">
        <w:rPr>
          <w:b/>
          <w:bCs/>
        </w:rPr>
        <w:t>1. Щодо строків, відведених Законом України «Про основні засади державного нагляду (контролю) у сфері господарської діяльності» для планування заходів державного нагляду (контролю)</w:t>
      </w:r>
    </w:p>
    <w:p w:rsidR="002C4503" w:rsidRPr="00447A90" w:rsidRDefault="002C4503" w:rsidP="00DB5CCD">
      <w:pPr>
        <w:ind w:firstLine="567"/>
        <w:jc w:val="both"/>
      </w:pPr>
    </w:p>
    <w:p w:rsidR="002C4503" w:rsidRPr="00447A90" w:rsidRDefault="002C4503" w:rsidP="00DB5CCD">
      <w:pPr>
        <w:ind w:firstLine="567"/>
        <w:jc w:val="both"/>
      </w:pPr>
      <w:r w:rsidRPr="00447A90">
        <w:t>Держана регуляторна служба Ук</w:t>
      </w:r>
      <w:r w:rsidR="00BD7BDB">
        <w:t>раїни нагадує, що 15 жовтня 2021</w:t>
      </w:r>
      <w:r w:rsidRPr="00447A90">
        <w:t xml:space="preserve"> року закінчується строк, відведений Законом України «Про основні засади державного нагляду (контролю) у сфері господарської діяльності» для </w:t>
      </w:r>
      <w:bookmarkStart w:id="0" w:name="_Hlk53268640"/>
      <w:r w:rsidRPr="00447A90">
        <w:t>визначення органами державного нагляду (контролю) переліків суб’єктів господарювання, які підлягають плановим заходам державного нагляду (контролю) у 202</w:t>
      </w:r>
      <w:r w:rsidR="00BD7BDB">
        <w:t>2</w:t>
      </w:r>
      <w:r w:rsidRPr="00447A90">
        <w:t xml:space="preserve"> році</w:t>
      </w:r>
      <w:bookmarkEnd w:id="0"/>
      <w:r w:rsidRPr="00447A90">
        <w:t>, та введення внесення відомостей про таких суб’єктів господарювання до Інтегрованої автоматизованої системи державного нагляду (контролю), функції якої наразі забезпечуються Інспекційним порталом (</w:t>
      </w:r>
      <w:hyperlink r:id="rId6" w:history="1">
        <w:r w:rsidRPr="00447A90">
          <w:rPr>
            <w:rStyle w:val="a3"/>
          </w:rPr>
          <w:t>https://inspections.gov.ua/</w:t>
        </w:r>
      </w:hyperlink>
      <w:r w:rsidRPr="00447A90">
        <w:t>).</w:t>
      </w:r>
    </w:p>
    <w:p w:rsidR="002C4503" w:rsidRPr="00447A90" w:rsidRDefault="002C4503" w:rsidP="00DB5CCD">
      <w:pPr>
        <w:ind w:firstLine="567"/>
        <w:jc w:val="both"/>
      </w:pPr>
      <w:r w:rsidRPr="00447A90">
        <w:t>Після спливу 15 жовтня 202</w:t>
      </w:r>
      <w:r w:rsidR="00BD7BDB">
        <w:t>1</w:t>
      </w:r>
      <w:r w:rsidRPr="00447A90">
        <w:t xml:space="preserve"> року строку, але не пізніше 17 жовтня </w:t>
      </w:r>
      <w:r w:rsidRPr="00447A90">
        <w:br/>
        <w:t>202</w:t>
      </w:r>
      <w:r w:rsidR="00BD7BDB">
        <w:t>1</w:t>
      </w:r>
      <w:r w:rsidRPr="00447A90">
        <w:t xml:space="preserve"> року Інспекційним порталом </w:t>
      </w:r>
      <w:r w:rsidRPr="00447A90">
        <w:rPr>
          <w:b/>
          <w:bCs/>
        </w:rPr>
        <w:t>автоматично</w:t>
      </w:r>
      <w:r w:rsidRPr="00447A90">
        <w:t xml:space="preserve"> буде згенерований проект плану здійснення комплексних заходів державного нагляду (контролю) на 202</w:t>
      </w:r>
      <w:r w:rsidR="00BD7BDB">
        <w:t>2</w:t>
      </w:r>
      <w:r w:rsidRPr="00447A90">
        <w:t xml:space="preserve"> рік, який у загальному доступі буде знаходитися у розділі «Плани перевірок».</w:t>
      </w:r>
    </w:p>
    <w:p w:rsidR="002C4503" w:rsidRPr="00447A90" w:rsidRDefault="002C4503" w:rsidP="00DB5CCD">
      <w:pPr>
        <w:ind w:firstLine="567"/>
        <w:jc w:val="both"/>
      </w:pPr>
      <w:r w:rsidRPr="00447A90">
        <w:t>Затвердження Державною регуляторною службою України плану здійснення комплексних заходів державного нагляду (контролю) на 202</w:t>
      </w:r>
      <w:r w:rsidR="00BD7BDB">
        <w:t>2</w:t>
      </w:r>
      <w:r w:rsidRPr="00447A90">
        <w:t xml:space="preserve"> рік відбудеться 15 листопада 202</w:t>
      </w:r>
      <w:r w:rsidR="00BD7BDB">
        <w:t>1</w:t>
      </w:r>
      <w:r w:rsidRPr="00447A90">
        <w:t xml:space="preserve"> року.</w:t>
      </w:r>
    </w:p>
    <w:p w:rsidR="002C4503" w:rsidRPr="00447A90" w:rsidRDefault="002C4503" w:rsidP="00DB5CCD">
      <w:pPr>
        <w:ind w:firstLine="567"/>
        <w:jc w:val="both"/>
      </w:pPr>
      <w:r w:rsidRPr="00447A90">
        <w:t>Починаючи з 15 листопада 202</w:t>
      </w:r>
      <w:r w:rsidR="00BD7BDB">
        <w:t>1</w:t>
      </w:r>
      <w:r w:rsidRPr="00447A90">
        <w:t xml:space="preserve"> року та до 1 грудня 202</w:t>
      </w:r>
      <w:r w:rsidR="00BD7BDB">
        <w:t>1</w:t>
      </w:r>
      <w:r w:rsidRPr="00447A90">
        <w:t xml:space="preserve"> року органами державного нагляду (контролю) будуть затверджені річні плани здійснення заходів державного нагляду (контролю) на 202</w:t>
      </w:r>
      <w:r w:rsidR="00BD7BDB">
        <w:t>2</w:t>
      </w:r>
      <w:r w:rsidRPr="00447A90">
        <w:t xml:space="preserve"> рік.</w:t>
      </w:r>
    </w:p>
    <w:p w:rsidR="002C4503" w:rsidRPr="00447A90" w:rsidRDefault="002C4503" w:rsidP="00DB5CCD">
      <w:pPr>
        <w:ind w:firstLine="567"/>
        <w:jc w:val="both"/>
      </w:pPr>
      <w:r w:rsidRPr="00447A90">
        <w:t>У період з 15 жовтня 202</w:t>
      </w:r>
      <w:r w:rsidR="00BD7BDB">
        <w:t>1</w:t>
      </w:r>
      <w:r w:rsidRPr="00447A90">
        <w:t xml:space="preserve"> року по 1 грудня 202</w:t>
      </w:r>
      <w:r w:rsidR="00BD7BDB">
        <w:t>1</w:t>
      </w:r>
      <w:r w:rsidRPr="00447A90">
        <w:t xml:space="preserve"> року Законом України «Про основні засади державного нагляду (контролю) у сфері господарської діяльності» передбачається можливість:</w:t>
      </w:r>
    </w:p>
    <w:p w:rsidR="002C4503" w:rsidRPr="00447A90" w:rsidRDefault="002C4503" w:rsidP="00DB5CCD">
      <w:pPr>
        <w:ind w:firstLine="567"/>
        <w:jc w:val="both"/>
      </w:pPr>
      <w:r w:rsidRPr="00447A90">
        <w:t xml:space="preserve">внесення змін до сформованого проекту плану здійснення комплексних заходів державного нагляду (контролю) </w:t>
      </w:r>
      <w:r w:rsidRPr="00A33CD8">
        <w:rPr>
          <w:i/>
        </w:rPr>
        <w:t>щодо узгоджених органами державного нагляду (контролю) інших дат початку та строків здійснення комплексних планових заходів державного нагляду (контролю)</w:t>
      </w:r>
      <w:r w:rsidRPr="00447A90">
        <w:t>;</w:t>
      </w:r>
    </w:p>
    <w:p w:rsidR="002C4503" w:rsidRPr="00447A90" w:rsidRDefault="002C4503" w:rsidP="00DB5CCD">
      <w:pPr>
        <w:ind w:firstLine="567"/>
        <w:jc w:val="both"/>
        <w:sectPr w:rsidR="002C4503" w:rsidRPr="00447A90" w:rsidSect="00324801">
          <w:headerReference w:type="even" r:id="rId7"/>
          <w:headerReference w:type="default" r:id="rId8"/>
          <w:pgSz w:w="11906" w:h="16838"/>
          <w:pgMar w:top="1134" w:right="567" w:bottom="1134" w:left="1701" w:header="709" w:footer="709" w:gutter="0"/>
          <w:cols w:space="708"/>
          <w:titlePg/>
          <w:docGrid w:linePitch="381"/>
        </w:sectPr>
      </w:pPr>
      <w:r w:rsidRPr="00447A90">
        <w:t xml:space="preserve">відмови суб’єктом господарювання від проведення комплексного планового заходу державного нагляду (контролю) шляхом письмового звернення до Державної регуляторної служби України. </w:t>
      </w:r>
      <w:r w:rsidRPr="00447A90">
        <w:rPr>
          <w:b/>
          <w:bCs/>
        </w:rPr>
        <w:t xml:space="preserve">У такому разі перевірка такого </w:t>
      </w:r>
      <w:r w:rsidRPr="00447A90">
        <w:rPr>
          <w:b/>
          <w:bCs/>
        </w:rPr>
        <w:lastRenderedPageBreak/>
        <w:t>суб’єкта господарювання проводиться згідно з річними планами органів державного нагляду (контролю)</w:t>
      </w:r>
      <w:r w:rsidRPr="00447A90">
        <w:t>.</w:t>
      </w:r>
    </w:p>
    <w:p w:rsidR="002C4503" w:rsidRPr="00447A90" w:rsidRDefault="002C4503" w:rsidP="00090555">
      <w:pPr>
        <w:ind w:firstLine="567"/>
        <w:jc w:val="center"/>
        <w:rPr>
          <w:b/>
          <w:bCs/>
        </w:rPr>
      </w:pPr>
      <w:r w:rsidRPr="00447A90">
        <w:rPr>
          <w:b/>
          <w:bCs/>
        </w:rPr>
        <w:lastRenderedPageBreak/>
        <w:t>Зведена таблиця дат (строків), відведених Законом України «Про основні засади державного нагляду (контролю) у сфері господарської діяльності» для планування заходів державного нагляду (контролю)</w:t>
      </w:r>
    </w:p>
    <w:p w:rsidR="002C4503" w:rsidRPr="00447A90" w:rsidRDefault="002C4503" w:rsidP="00DB5CCD">
      <w:pPr>
        <w:ind w:firstLine="567"/>
        <w:jc w:val="both"/>
        <w:rPr>
          <w:b/>
          <w:bC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268"/>
        <w:gridCol w:w="9923"/>
      </w:tblGrid>
      <w:tr w:rsidR="002C4503" w:rsidRPr="003F71F1" w:rsidTr="003F71F1">
        <w:tc>
          <w:tcPr>
            <w:tcW w:w="4673" w:type="dxa"/>
            <w:gridSpan w:val="2"/>
            <w:vAlign w:val="center"/>
          </w:tcPr>
          <w:p w:rsidR="002C4503" w:rsidRPr="003F71F1" w:rsidRDefault="002C4503" w:rsidP="003F71F1">
            <w:pPr>
              <w:jc w:val="center"/>
              <w:rPr>
                <w:szCs w:val="28"/>
              </w:rPr>
            </w:pPr>
            <w:r w:rsidRPr="003F71F1">
              <w:rPr>
                <w:szCs w:val="28"/>
              </w:rPr>
              <w:t>Дата/строк</w:t>
            </w:r>
          </w:p>
        </w:tc>
        <w:tc>
          <w:tcPr>
            <w:tcW w:w="9923" w:type="dxa"/>
          </w:tcPr>
          <w:p w:rsidR="002C4503" w:rsidRPr="003F71F1" w:rsidRDefault="002C4503" w:rsidP="003F71F1">
            <w:pPr>
              <w:jc w:val="center"/>
              <w:rPr>
                <w:szCs w:val="28"/>
              </w:rPr>
            </w:pPr>
            <w:r w:rsidRPr="003F71F1">
              <w:rPr>
                <w:szCs w:val="28"/>
              </w:rPr>
              <w:t>Заходи</w:t>
            </w:r>
          </w:p>
        </w:tc>
      </w:tr>
      <w:tr w:rsidR="002C4503" w:rsidRPr="003F71F1" w:rsidTr="003F71F1">
        <w:tc>
          <w:tcPr>
            <w:tcW w:w="4673" w:type="dxa"/>
            <w:gridSpan w:val="2"/>
            <w:vAlign w:val="center"/>
          </w:tcPr>
          <w:p w:rsidR="002C4503" w:rsidRPr="003F71F1" w:rsidRDefault="002C4503" w:rsidP="00BD7BDB">
            <w:pPr>
              <w:jc w:val="center"/>
              <w:rPr>
                <w:szCs w:val="28"/>
              </w:rPr>
            </w:pPr>
            <w:r w:rsidRPr="003F71F1">
              <w:rPr>
                <w:szCs w:val="28"/>
              </w:rPr>
              <w:t>до 15 жовтня 202</w:t>
            </w:r>
            <w:r w:rsidR="00BD7BDB">
              <w:rPr>
                <w:szCs w:val="28"/>
              </w:rPr>
              <w:t>1</w:t>
            </w:r>
            <w:r w:rsidRPr="003F71F1">
              <w:rPr>
                <w:szCs w:val="28"/>
              </w:rPr>
              <w:t xml:space="preserve"> року</w:t>
            </w:r>
          </w:p>
        </w:tc>
        <w:tc>
          <w:tcPr>
            <w:tcW w:w="9923" w:type="dxa"/>
          </w:tcPr>
          <w:p w:rsidR="002C4503" w:rsidRPr="003F71F1" w:rsidRDefault="002C4503" w:rsidP="00BD7BDB">
            <w:pPr>
              <w:jc w:val="both"/>
              <w:rPr>
                <w:szCs w:val="28"/>
              </w:rPr>
            </w:pPr>
            <w:r w:rsidRPr="003F71F1">
              <w:rPr>
                <w:szCs w:val="28"/>
              </w:rPr>
              <w:t>Визначення органами державного нагляду (контролю) переліків суб’єктів господарювання, які підлягають плановим заходам державного нагляду (контролю) у 202</w:t>
            </w:r>
            <w:r w:rsidR="00BD7BDB">
              <w:rPr>
                <w:szCs w:val="28"/>
              </w:rPr>
              <w:t>2</w:t>
            </w:r>
            <w:r w:rsidRPr="003F71F1">
              <w:rPr>
                <w:szCs w:val="28"/>
              </w:rPr>
              <w:t xml:space="preserve"> році, та введення внесення відомостей про таких суб’єктів господарювання до Інспекційного порталу</w:t>
            </w:r>
          </w:p>
        </w:tc>
      </w:tr>
      <w:tr w:rsidR="002C4503" w:rsidRPr="003F71F1" w:rsidTr="003F71F1">
        <w:tc>
          <w:tcPr>
            <w:tcW w:w="2405" w:type="dxa"/>
            <w:vAlign w:val="center"/>
          </w:tcPr>
          <w:p w:rsidR="002C4503" w:rsidRPr="003F71F1" w:rsidRDefault="002C4503" w:rsidP="00BD7BDB">
            <w:pPr>
              <w:jc w:val="center"/>
              <w:rPr>
                <w:szCs w:val="28"/>
              </w:rPr>
            </w:pPr>
            <w:r w:rsidRPr="003F71F1">
              <w:rPr>
                <w:szCs w:val="28"/>
              </w:rPr>
              <w:t>з 15 жовтня 202</w:t>
            </w:r>
            <w:r w:rsidR="00BD7BDB">
              <w:rPr>
                <w:szCs w:val="28"/>
              </w:rPr>
              <w:t>1</w:t>
            </w:r>
            <w:r w:rsidRPr="003F71F1">
              <w:rPr>
                <w:szCs w:val="28"/>
              </w:rPr>
              <w:t xml:space="preserve"> року</w:t>
            </w:r>
          </w:p>
        </w:tc>
        <w:tc>
          <w:tcPr>
            <w:tcW w:w="2268" w:type="dxa"/>
            <w:vAlign w:val="center"/>
          </w:tcPr>
          <w:p w:rsidR="002C4503" w:rsidRPr="003F71F1" w:rsidRDefault="002C4503" w:rsidP="00BD7BDB">
            <w:pPr>
              <w:jc w:val="center"/>
              <w:rPr>
                <w:szCs w:val="28"/>
              </w:rPr>
            </w:pPr>
            <w:r w:rsidRPr="003F71F1">
              <w:rPr>
                <w:szCs w:val="28"/>
              </w:rPr>
              <w:t>по 17 жовтня 202</w:t>
            </w:r>
            <w:r w:rsidR="00BD7BDB">
              <w:rPr>
                <w:szCs w:val="28"/>
              </w:rPr>
              <w:t>1</w:t>
            </w:r>
            <w:r w:rsidRPr="003F71F1">
              <w:rPr>
                <w:szCs w:val="28"/>
              </w:rPr>
              <w:t xml:space="preserve"> року</w:t>
            </w:r>
          </w:p>
        </w:tc>
        <w:tc>
          <w:tcPr>
            <w:tcW w:w="9923" w:type="dxa"/>
          </w:tcPr>
          <w:p w:rsidR="002C4503" w:rsidRPr="003F71F1" w:rsidRDefault="002C4503" w:rsidP="00BD7BDB">
            <w:pPr>
              <w:jc w:val="both"/>
              <w:rPr>
                <w:szCs w:val="28"/>
              </w:rPr>
            </w:pPr>
            <w:r w:rsidRPr="003F71F1">
              <w:rPr>
                <w:szCs w:val="28"/>
              </w:rPr>
              <w:t>Автоматичне генерування Інспекційним порталом проект плану здійснення комплексних заходів державного нагляду (контролю) на 202</w:t>
            </w:r>
            <w:r w:rsidR="00BD7BDB">
              <w:rPr>
                <w:szCs w:val="28"/>
              </w:rPr>
              <w:t>2</w:t>
            </w:r>
            <w:r w:rsidRPr="003F71F1">
              <w:rPr>
                <w:szCs w:val="28"/>
              </w:rPr>
              <w:t xml:space="preserve"> рік</w:t>
            </w:r>
          </w:p>
        </w:tc>
      </w:tr>
      <w:tr w:rsidR="002C4503" w:rsidRPr="003F71F1" w:rsidTr="003F71F1">
        <w:tc>
          <w:tcPr>
            <w:tcW w:w="2405" w:type="dxa"/>
            <w:vAlign w:val="center"/>
          </w:tcPr>
          <w:p w:rsidR="002C4503" w:rsidRPr="003F71F1" w:rsidRDefault="002C4503" w:rsidP="00BD7BDB">
            <w:pPr>
              <w:jc w:val="center"/>
              <w:rPr>
                <w:szCs w:val="28"/>
              </w:rPr>
            </w:pPr>
            <w:r w:rsidRPr="003F71F1">
              <w:rPr>
                <w:szCs w:val="28"/>
              </w:rPr>
              <w:t>з 15 (17) жовтня 202</w:t>
            </w:r>
            <w:r w:rsidR="00BD7BDB">
              <w:rPr>
                <w:szCs w:val="28"/>
              </w:rPr>
              <w:t>1</w:t>
            </w:r>
            <w:r w:rsidRPr="003F71F1">
              <w:rPr>
                <w:szCs w:val="28"/>
              </w:rPr>
              <w:t xml:space="preserve"> року</w:t>
            </w:r>
          </w:p>
        </w:tc>
        <w:tc>
          <w:tcPr>
            <w:tcW w:w="2268" w:type="dxa"/>
            <w:vAlign w:val="center"/>
          </w:tcPr>
          <w:p w:rsidR="002C4503" w:rsidRPr="003F71F1" w:rsidRDefault="002C4503" w:rsidP="00BD7BDB">
            <w:pPr>
              <w:jc w:val="center"/>
              <w:rPr>
                <w:szCs w:val="28"/>
              </w:rPr>
            </w:pPr>
            <w:r w:rsidRPr="003F71F1">
              <w:rPr>
                <w:szCs w:val="28"/>
              </w:rPr>
              <w:t>по 1 листопада 202</w:t>
            </w:r>
            <w:r w:rsidR="00BD7BDB">
              <w:rPr>
                <w:szCs w:val="28"/>
              </w:rPr>
              <w:t>1</w:t>
            </w:r>
            <w:r w:rsidRPr="003F71F1">
              <w:rPr>
                <w:szCs w:val="28"/>
              </w:rPr>
              <w:t xml:space="preserve"> року</w:t>
            </w:r>
          </w:p>
        </w:tc>
        <w:tc>
          <w:tcPr>
            <w:tcW w:w="9923" w:type="dxa"/>
          </w:tcPr>
          <w:p w:rsidR="002C4503" w:rsidRPr="003F71F1" w:rsidRDefault="002C4503" w:rsidP="003F71F1">
            <w:pPr>
              <w:jc w:val="both"/>
              <w:rPr>
                <w:szCs w:val="28"/>
              </w:rPr>
            </w:pPr>
            <w:r w:rsidRPr="003F71F1">
              <w:rPr>
                <w:szCs w:val="28"/>
              </w:rPr>
              <w:t>Подання органами державного нагляду (контролю) до Державної регуляторної служби України письмових звернень про необхідність внесення змін до сформованого проекту плану здійснення комплексних заходів державного нагляду (контролю) щодо узгоджених між органами державного нагляду (контролю) інших дат початку та строків здійснення комплексних планових заходів державного нагляду (контролю).</w:t>
            </w:r>
          </w:p>
        </w:tc>
      </w:tr>
      <w:tr w:rsidR="002C4503" w:rsidRPr="003F71F1" w:rsidTr="003F71F1">
        <w:tc>
          <w:tcPr>
            <w:tcW w:w="2405" w:type="dxa"/>
            <w:vMerge w:val="restart"/>
            <w:vAlign w:val="center"/>
          </w:tcPr>
          <w:p w:rsidR="002C4503" w:rsidRPr="003F71F1" w:rsidRDefault="002C4503" w:rsidP="00BD7BDB">
            <w:pPr>
              <w:jc w:val="center"/>
              <w:rPr>
                <w:szCs w:val="28"/>
              </w:rPr>
            </w:pPr>
            <w:r w:rsidRPr="003F71F1">
              <w:rPr>
                <w:szCs w:val="28"/>
              </w:rPr>
              <w:t>з 15 (17) жовтня 202</w:t>
            </w:r>
            <w:r w:rsidR="00BD7BDB">
              <w:rPr>
                <w:szCs w:val="28"/>
              </w:rPr>
              <w:t>1</w:t>
            </w:r>
            <w:r w:rsidRPr="003F71F1">
              <w:rPr>
                <w:szCs w:val="28"/>
              </w:rPr>
              <w:t xml:space="preserve"> року</w:t>
            </w:r>
          </w:p>
        </w:tc>
        <w:tc>
          <w:tcPr>
            <w:tcW w:w="2268" w:type="dxa"/>
            <w:vMerge w:val="restart"/>
            <w:vAlign w:val="center"/>
          </w:tcPr>
          <w:p w:rsidR="002C4503" w:rsidRPr="003F71F1" w:rsidRDefault="002C4503" w:rsidP="00BD7BDB">
            <w:pPr>
              <w:jc w:val="center"/>
              <w:rPr>
                <w:szCs w:val="28"/>
              </w:rPr>
            </w:pPr>
            <w:r w:rsidRPr="003F71F1">
              <w:rPr>
                <w:szCs w:val="28"/>
              </w:rPr>
              <w:t>по 15 листопада 202</w:t>
            </w:r>
            <w:r w:rsidR="00BD7BDB">
              <w:rPr>
                <w:szCs w:val="28"/>
              </w:rPr>
              <w:t>1</w:t>
            </w:r>
            <w:r w:rsidRPr="003F71F1">
              <w:rPr>
                <w:szCs w:val="28"/>
              </w:rPr>
              <w:t xml:space="preserve"> року</w:t>
            </w:r>
          </w:p>
        </w:tc>
        <w:tc>
          <w:tcPr>
            <w:tcW w:w="9923" w:type="dxa"/>
          </w:tcPr>
          <w:p w:rsidR="002C4503" w:rsidRPr="003F71F1" w:rsidRDefault="002C4503" w:rsidP="003F71F1">
            <w:pPr>
              <w:jc w:val="both"/>
              <w:rPr>
                <w:szCs w:val="28"/>
              </w:rPr>
            </w:pPr>
            <w:r w:rsidRPr="003F71F1">
              <w:rPr>
                <w:szCs w:val="28"/>
              </w:rPr>
              <w:t xml:space="preserve">Внесення змін до сформованого проекту плану здійснення комплексних заходів державного нагляду (контролю) щодо узгоджених органами державного нагляду (контролю) інших </w:t>
            </w:r>
            <w:bookmarkStart w:id="1" w:name="_Hlk53264596"/>
            <w:r w:rsidRPr="003F71F1">
              <w:rPr>
                <w:szCs w:val="28"/>
              </w:rPr>
              <w:t>дат початку та строків здійснення комплексних планових заходів державного нагляду (контролю)</w:t>
            </w:r>
            <w:bookmarkEnd w:id="1"/>
            <w:r w:rsidRPr="003F71F1">
              <w:rPr>
                <w:szCs w:val="28"/>
              </w:rPr>
              <w:t>.</w:t>
            </w:r>
          </w:p>
        </w:tc>
      </w:tr>
      <w:tr w:rsidR="002C4503" w:rsidRPr="003F71F1" w:rsidTr="003F71F1">
        <w:tc>
          <w:tcPr>
            <w:tcW w:w="2405" w:type="dxa"/>
            <w:vMerge/>
            <w:vAlign w:val="center"/>
          </w:tcPr>
          <w:p w:rsidR="002C4503" w:rsidRPr="003F71F1" w:rsidRDefault="002C4503" w:rsidP="003F71F1">
            <w:pPr>
              <w:jc w:val="center"/>
              <w:rPr>
                <w:szCs w:val="28"/>
              </w:rPr>
            </w:pPr>
          </w:p>
        </w:tc>
        <w:tc>
          <w:tcPr>
            <w:tcW w:w="2268" w:type="dxa"/>
            <w:vMerge/>
            <w:vAlign w:val="center"/>
          </w:tcPr>
          <w:p w:rsidR="002C4503" w:rsidRPr="003F71F1" w:rsidRDefault="002C4503" w:rsidP="003F71F1">
            <w:pPr>
              <w:jc w:val="center"/>
              <w:rPr>
                <w:szCs w:val="28"/>
              </w:rPr>
            </w:pPr>
          </w:p>
        </w:tc>
        <w:tc>
          <w:tcPr>
            <w:tcW w:w="9923" w:type="dxa"/>
          </w:tcPr>
          <w:p w:rsidR="002C4503" w:rsidRPr="003F71F1" w:rsidRDefault="002C4503" w:rsidP="003F71F1">
            <w:pPr>
              <w:ind w:hanging="3"/>
              <w:jc w:val="both"/>
              <w:rPr>
                <w:szCs w:val="28"/>
              </w:rPr>
            </w:pPr>
            <w:r w:rsidRPr="003F71F1">
              <w:rPr>
                <w:szCs w:val="28"/>
              </w:rPr>
              <w:t xml:space="preserve">Відмова суб’єктом господарювання від проведення комплексного планового заходу державного нагляду (контролю) шляхом письмового звернення до Державної регуляторної служби України. </w:t>
            </w:r>
            <w:r w:rsidRPr="003F71F1">
              <w:rPr>
                <w:b/>
                <w:bCs/>
                <w:szCs w:val="28"/>
              </w:rPr>
              <w:t>У такому разі перевірка такого суб’єкта господарювання проводиться згідно з річними планами органів державного нагляду (контролю)</w:t>
            </w:r>
            <w:r w:rsidRPr="003F71F1">
              <w:rPr>
                <w:szCs w:val="28"/>
              </w:rPr>
              <w:t>.</w:t>
            </w:r>
          </w:p>
        </w:tc>
      </w:tr>
      <w:tr w:rsidR="002C4503" w:rsidRPr="003F71F1" w:rsidTr="003F71F1">
        <w:tc>
          <w:tcPr>
            <w:tcW w:w="4673" w:type="dxa"/>
            <w:gridSpan w:val="2"/>
            <w:vAlign w:val="center"/>
          </w:tcPr>
          <w:p w:rsidR="002C4503" w:rsidRPr="003F71F1" w:rsidRDefault="002C4503" w:rsidP="00BD7BDB">
            <w:pPr>
              <w:jc w:val="center"/>
              <w:rPr>
                <w:szCs w:val="28"/>
              </w:rPr>
            </w:pPr>
            <w:r w:rsidRPr="003F71F1">
              <w:rPr>
                <w:szCs w:val="28"/>
              </w:rPr>
              <w:t>15 листопада 202</w:t>
            </w:r>
            <w:r w:rsidR="00BD7BDB">
              <w:rPr>
                <w:szCs w:val="28"/>
              </w:rPr>
              <w:t>1</w:t>
            </w:r>
            <w:r w:rsidRPr="003F71F1">
              <w:rPr>
                <w:szCs w:val="28"/>
              </w:rPr>
              <w:t xml:space="preserve"> року</w:t>
            </w:r>
          </w:p>
        </w:tc>
        <w:tc>
          <w:tcPr>
            <w:tcW w:w="9923" w:type="dxa"/>
          </w:tcPr>
          <w:p w:rsidR="002C4503" w:rsidRPr="003F71F1" w:rsidRDefault="002C4503" w:rsidP="00BD7BDB">
            <w:pPr>
              <w:ind w:hanging="3"/>
              <w:jc w:val="both"/>
              <w:rPr>
                <w:szCs w:val="28"/>
              </w:rPr>
            </w:pPr>
            <w:r w:rsidRPr="003F71F1">
              <w:rPr>
                <w:szCs w:val="28"/>
              </w:rPr>
              <w:t>Затвердження Державною регуляторною службою України плану здійснення комплексних заходів державного нагляду (контролю) на 202</w:t>
            </w:r>
            <w:r w:rsidR="00BD7BDB">
              <w:rPr>
                <w:szCs w:val="28"/>
              </w:rPr>
              <w:t>2</w:t>
            </w:r>
            <w:r w:rsidRPr="003F71F1">
              <w:rPr>
                <w:szCs w:val="28"/>
              </w:rPr>
              <w:t xml:space="preserve"> рік</w:t>
            </w:r>
          </w:p>
        </w:tc>
      </w:tr>
      <w:tr w:rsidR="002C4503" w:rsidRPr="003F71F1" w:rsidTr="003F71F1">
        <w:tc>
          <w:tcPr>
            <w:tcW w:w="2405" w:type="dxa"/>
            <w:vAlign w:val="center"/>
          </w:tcPr>
          <w:p w:rsidR="002C4503" w:rsidRPr="003F71F1" w:rsidRDefault="002C4503" w:rsidP="00BD7BDB">
            <w:pPr>
              <w:jc w:val="center"/>
              <w:rPr>
                <w:szCs w:val="28"/>
              </w:rPr>
            </w:pPr>
            <w:r w:rsidRPr="003F71F1">
              <w:rPr>
                <w:szCs w:val="28"/>
              </w:rPr>
              <w:t>з 15 листопада 202</w:t>
            </w:r>
            <w:r w:rsidR="00BD7BDB">
              <w:rPr>
                <w:szCs w:val="28"/>
              </w:rPr>
              <w:t>1</w:t>
            </w:r>
            <w:r w:rsidRPr="003F71F1">
              <w:rPr>
                <w:szCs w:val="28"/>
              </w:rPr>
              <w:t xml:space="preserve"> року</w:t>
            </w:r>
          </w:p>
        </w:tc>
        <w:tc>
          <w:tcPr>
            <w:tcW w:w="2268" w:type="dxa"/>
            <w:vAlign w:val="center"/>
          </w:tcPr>
          <w:p w:rsidR="002C4503" w:rsidRPr="003F71F1" w:rsidRDefault="002C4503" w:rsidP="00BD7BDB">
            <w:pPr>
              <w:jc w:val="center"/>
              <w:rPr>
                <w:szCs w:val="28"/>
              </w:rPr>
            </w:pPr>
            <w:r w:rsidRPr="003F71F1">
              <w:rPr>
                <w:szCs w:val="28"/>
              </w:rPr>
              <w:t>по 1 грудня 202</w:t>
            </w:r>
            <w:r w:rsidR="00BD7BDB">
              <w:rPr>
                <w:szCs w:val="28"/>
              </w:rPr>
              <w:t>1</w:t>
            </w:r>
            <w:r w:rsidRPr="003F71F1">
              <w:rPr>
                <w:szCs w:val="28"/>
              </w:rPr>
              <w:t xml:space="preserve"> року</w:t>
            </w:r>
          </w:p>
        </w:tc>
        <w:tc>
          <w:tcPr>
            <w:tcW w:w="9923" w:type="dxa"/>
          </w:tcPr>
          <w:p w:rsidR="002C4503" w:rsidRPr="003F71F1" w:rsidRDefault="002C4503" w:rsidP="00BD7BDB">
            <w:pPr>
              <w:ind w:hanging="3"/>
              <w:jc w:val="both"/>
              <w:rPr>
                <w:szCs w:val="28"/>
              </w:rPr>
            </w:pPr>
            <w:r w:rsidRPr="003F71F1">
              <w:rPr>
                <w:szCs w:val="28"/>
              </w:rPr>
              <w:t>Затвердження органами державного нагляду (контролю) річних планів здійснення заходів державного нагляду (контролю) на 202</w:t>
            </w:r>
            <w:r w:rsidR="00BD7BDB">
              <w:rPr>
                <w:szCs w:val="28"/>
              </w:rPr>
              <w:t>2</w:t>
            </w:r>
            <w:r w:rsidRPr="003F71F1">
              <w:rPr>
                <w:szCs w:val="28"/>
              </w:rPr>
              <w:t xml:space="preserve"> рік.</w:t>
            </w:r>
          </w:p>
        </w:tc>
      </w:tr>
    </w:tbl>
    <w:p w:rsidR="002C4503" w:rsidRPr="00447A90" w:rsidRDefault="002C4503">
      <w:pPr>
        <w:sectPr w:rsidR="002C4503" w:rsidRPr="00447A90" w:rsidSect="00510934">
          <w:pgSz w:w="16838" w:h="11906" w:orient="landscape"/>
          <w:pgMar w:top="567" w:right="1134" w:bottom="567" w:left="1134" w:header="709" w:footer="709" w:gutter="0"/>
          <w:cols w:space="708"/>
          <w:docGrid w:linePitch="381"/>
        </w:sectPr>
      </w:pPr>
    </w:p>
    <w:p w:rsidR="002C4503" w:rsidRPr="00447A90" w:rsidRDefault="002C4503" w:rsidP="00FA7F9D">
      <w:pPr>
        <w:jc w:val="both"/>
        <w:rPr>
          <w:b/>
          <w:bCs/>
        </w:rPr>
      </w:pPr>
      <w:r w:rsidRPr="00447A90">
        <w:rPr>
          <w:b/>
          <w:bCs/>
        </w:rPr>
        <w:lastRenderedPageBreak/>
        <w:t>2. Що є підставою для проведення планових заходів державного нагляду (контролю) та яке призначення плану здійснення комплексних заходів державного нагляду (контролю)</w:t>
      </w:r>
    </w:p>
    <w:p w:rsidR="002C4503" w:rsidRPr="00447A90" w:rsidRDefault="002C4503" w:rsidP="00FA7F9D">
      <w:pPr>
        <w:jc w:val="both"/>
      </w:pPr>
    </w:p>
    <w:p w:rsidR="002C4503" w:rsidRPr="00447A90" w:rsidRDefault="002C4503" w:rsidP="003813F8">
      <w:pPr>
        <w:ind w:firstLine="567"/>
        <w:jc w:val="both"/>
      </w:pPr>
      <w:r w:rsidRPr="00447A90">
        <w:t>Планові заходи державного нагляду (контролю) здійснюються відповідно до річних планів, що затверджуються органом державного нагляду (контролю).</w:t>
      </w:r>
    </w:p>
    <w:p w:rsidR="002C4503" w:rsidRPr="00447A90" w:rsidRDefault="002C4503" w:rsidP="003813F8">
      <w:pPr>
        <w:ind w:firstLine="567"/>
        <w:jc w:val="both"/>
      </w:pPr>
      <w:r w:rsidRPr="00447A90">
        <w:t>Річні плани формуються із</w:t>
      </w:r>
      <w:r w:rsidRPr="00447A90">
        <w:rPr>
          <w:szCs w:val="28"/>
        </w:rPr>
        <w:t xml:space="preserve"> переліків суб’єктів господарювання, які підлягають плановим заходам державного нагляду (контролю), що </w:t>
      </w:r>
      <w:r w:rsidRPr="00447A90">
        <w:rPr>
          <w:b/>
          <w:bCs/>
          <w:szCs w:val="28"/>
        </w:rPr>
        <w:t xml:space="preserve">визначаються </w:t>
      </w:r>
      <w:r w:rsidRPr="004654CB">
        <w:rPr>
          <w:b/>
          <w:bCs/>
          <w:szCs w:val="28"/>
          <w:u w:val="single"/>
        </w:rPr>
        <w:t>органами держаного нагляду (контролю)</w:t>
      </w:r>
      <w:r w:rsidRPr="00447A90">
        <w:rPr>
          <w:szCs w:val="28"/>
        </w:rPr>
        <w:t xml:space="preserve">, </w:t>
      </w:r>
      <w:r w:rsidRPr="00447A90">
        <w:rPr>
          <w:b/>
          <w:bCs/>
        </w:rPr>
        <w:t>керуючись критеріями</w:t>
      </w:r>
      <w:r w:rsidRPr="00447A90">
        <w:t xml:space="preserve">, за якими оцінюється ступінь ризику від провадження господарської діяльності </w:t>
      </w:r>
      <w:r w:rsidRPr="00447A90">
        <w:rPr>
          <w:b/>
          <w:bCs/>
        </w:rPr>
        <w:t>та ураховуючи періодичність</w:t>
      </w:r>
      <w:r w:rsidRPr="00447A90">
        <w:t xml:space="preserve"> проведення планових заходів державного нагляду (контролю), встановлену положеннями частини другої статті 5 цього Закону України «Про основні засади державного нагляду (контролю) у сфері господарської діяльності».</w:t>
      </w:r>
    </w:p>
    <w:p w:rsidR="002C4503" w:rsidRPr="00447A90" w:rsidRDefault="002C4503" w:rsidP="003813F8">
      <w:pPr>
        <w:ind w:firstLine="567"/>
        <w:jc w:val="both"/>
      </w:pPr>
      <w:r w:rsidRPr="00447A90">
        <w:t xml:space="preserve">У разі якщо суб’єкт господарювання на відповідний плановий період включений до планів здійснення заходів державного нагляду (контролю) </w:t>
      </w:r>
      <w:r w:rsidRPr="00447A90">
        <w:rPr>
          <w:b/>
          <w:bCs/>
        </w:rPr>
        <w:t>одночасно кількох органів державного нагляду (контролю)</w:t>
      </w:r>
      <w:r w:rsidRPr="00447A90">
        <w:t xml:space="preserve">, відповідні планові заходи здійснюються органами державного нагляду (контролю) </w:t>
      </w:r>
      <w:r w:rsidRPr="00447A90">
        <w:rPr>
          <w:b/>
          <w:bCs/>
        </w:rPr>
        <w:t>комплексно</w:t>
      </w:r>
      <w:r w:rsidRPr="00447A90">
        <w:t>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2C4503" w:rsidRPr="00447A90" w:rsidRDefault="002C4503" w:rsidP="003813F8">
      <w:pPr>
        <w:ind w:firstLine="567"/>
        <w:jc w:val="both"/>
      </w:pPr>
      <w:r w:rsidRPr="00447A90">
        <w:t xml:space="preserve">Єдина для всіх органів державного нагляду (контролю) дата початку </w:t>
      </w:r>
      <w:r w:rsidRPr="00447A90">
        <w:rPr>
          <w:shd w:val="clear" w:color="auto" w:fill="FFFFFF"/>
        </w:rPr>
        <w:t xml:space="preserve">здійснення комплексних планових заходів державного нагляду (контролю) щодо такого суб’єкта визначається </w:t>
      </w:r>
      <w:r w:rsidRPr="00447A90">
        <w:rPr>
          <w:b/>
          <w:bCs/>
          <w:shd w:val="clear" w:color="auto" w:fill="FFFFFF"/>
        </w:rPr>
        <w:t>автоматично</w:t>
      </w:r>
      <w:r w:rsidRPr="00447A90">
        <w:rPr>
          <w:shd w:val="clear" w:color="auto" w:fill="FFFFFF"/>
        </w:rPr>
        <w:t xml:space="preserve"> </w:t>
      </w:r>
      <w:r w:rsidRPr="00447A90">
        <w:t xml:space="preserve">Інспекційним порталом із зазначенням її у сформованому </w:t>
      </w:r>
      <w:bookmarkStart w:id="2" w:name="_Hlk53264965"/>
      <w:r w:rsidRPr="00447A90">
        <w:t xml:space="preserve">проекті </w:t>
      </w:r>
      <w:bookmarkStart w:id="3" w:name="_Hlk53255853"/>
      <w:r w:rsidRPr="00447A90">
        <w:t>плану здійснення комплексних заходів державного нагляду (контролю)</w:t>
      </w:r>
      <w:bookmarkEnd w:id="2"/>
      <w:bookmarkEnd w:id="3"/>
      <w:r w:rsidRPr="00447A90">
        <w:t>.</w:t>
      </w:r>
    </w:p>
    <w:p w:rsidR="002C4503" w:rsidRPr="00447A90" w:rsidRDefault="002C4503" w:rsidP="003813F8">
      <w:pPr>
        <w:ind w:firstLine="567"/>
        <w:jc w:val="both"/>
      </w:pPr>
    </w:p>
    <w:tbl>
      <w:tblPr>
        <w:tblW w:w="9747" w:type="dxa"/>
        <w:tblLook w:val="00A0" w:firstRow="1" w:lastRow="0" w:firstColumn="1" w:lastColumn="0" w:noHBand="0" w:noVBand="0"/>
      </w:tblPr>
      <w:tblGrid>
        <w:gridCol w:w="996"/>
        <w:gridCol w:w="8751"/>
      </w:tblGrid>
      <w:tr w:rsidR="002C4503" w:rsidRPr="003F71F1" w:rsidTr="00B75DFC">
        <w:tc>
          <w:tcPr>
            <w:tcW w:w="996" w:type="dxa"/>
          </w:tcPr>
          <w:p w:rsidR="002C4503" w:rsidRPr="003F71F1" w:rsidRDefault="0068422A" w:rsidP="00080F91">
            <w:pPr>
              <w:jc w:val="both"/>
              <w:rPr>
                <w:noProof/>
                <w:szCs w:val="20"/>
              </w:rPr>
            </w:pPr>
            <w:r>
              <w:rPr>
                <w:noProof/>
                <w:szCs w:val="20"/>
                <w:lang w:eastAsia="uk-UA"/>
              </w:rPr>
              <w:drawing>
                <wp:inline distT="0" distB="0" distL="0" distR="0">
                  <wp:extent cx="476250" cy="4286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8751" w:type="dxa"/>
            <w:vAlign w:val="center"/>
          </w:tcPr>
          <w:p w:rsidR="002C4503" w:rsidRPr="003F71F1" w:rsidRDefault="002C4503" w:rsidP="00B75DFC">
            <w:pPr>
              <w:ind w:firstLine="1"/>
              <w:jc w:val="both"/>
              <w:rPr>
                <w:b/>
                <w:bCs/>
              </w:rPr>
            </w:pPr>
            <w:r w:rsidRPr="003F71F1">
              <w:rPr>
                <w:b/>
                <w:bCs/>
              </w:rPr>
              <w:t xml:space="preserve">Підставою для проведення планових заходів державного нагляду (контролю) є річні плани, які затверджуються </w:t>
            </w:r>
            <w:r w:rsidRPr="003F71F1">
              <w:rPr>
                <w:b/>
                <w:bCs/>
                <w:u w:val="single"/>
              </w:rPr>
              <w:t>органами державного нагляду (контролю)</w:t>
            </w:r>
            <w:r w:rsidRPr="003F71F1">
              <w:rPr>
                <w:b/>
                <w:bCs/>
              </w:rPr>
              <w:t>.</w:t>
            </w:r>
          </w:p>
        </w:tc>
      </w:tr>
      <w:tr w:rsidR="002C4503" w:rsidRPr="003F71F1" w:rsidTr="00B75DFC">
        <w:tc>
          <w:tcPr>
            <w:tcW w:w="996" w:type="dxa"/>
          </w:tcPr>
          <w:p w:rsidR="002C4503" w:rsidRPr="003F71F1" w:rsidRDefault="002C4503" w:rsidP="00B75DFC">
            <w:pPr>
              <w:jc w:val="both"/>
              <w:rPr>
                <w:noProof/>
                <w:szCs w:val="20"/>
              </w:rPr>
            </w:pPr>
          </w:p>
        </w:tc>
        <w:tc>
          <w:tcPr>
            <w:tcW w:w="8751" w:type="dxa"/>
            <w:vAlign w:val="center"/>
          </w:tcPr>
          <w:p w:rsidR="002C4503" w:rsidRPr="003F71F1" w:rsidRDefault="002C4503" w:rsidP="00B75DFC">
            <w:pPr>
              <w:ind w:firstLine="1"/>
              <w:jc w:val="both"/>
              <w:rPr>
                <w:b/>
                <w:bCs/>
              </w:rPr>
            </w:pPr>
            <w:r w:rsidRPr="003F71F1">
              <w:rPr>
                <w:b/>
                <w:bCs/>
                <w:szCs w:val="28"/>
              </w:rPr>
              <w:t xml:space="preserve">Встановлення потреби у проведенні заходів державного нагляду (контролю) щодо конкретного суб’єкта господарювання є виключним повноваженням </w:t>
            </w:r>
            <w:r w:rsidRPr="003F71F1">
              <w:rPr>
                <w:b/>
                <w:bCs/>
                <w:szCs w:val="28"/>
                <w:u w:val="single"/>
              </w:rPr>
              <w:t>органів державного нагляду (контролю)</w:t>
            </w:r>
            <w:r w:rsidRPr="003F71F1">
              <w:rPr>
                <w:b/>
                <w:bCs/>
                <w:szCs w:val="28"/>
              </w:rPr>
              <w:t>.</w:t>
            </w:r>
          </w:p>
        </w:tc>
      </w:tr>
      <w:tr w:rsidR="002C4503" w:rsidRPr="003F71F1" w:rsidTr="00B75DFC">
        <w:tc>
          <w:tcPr>
            <w:tcW w:w="996" w:type="dxa"/>
          </w:tcPr>
          <w:p w:rsidR="002C4503" w:rsidRPr="003F71F1" w:rsidRDefault="002C4503" w:rsidP="00080F91">
            <w:pPr>
              <w:jc w:val="both"/>
              <w:rPr>
                <w:b/>
                <w:bCs/>
                <w:szCs w:val="20"/>
              </w:rPr>
            </w:pPr>
          </w:p>
        </w:tc>
        <w:tc>
          <w:tcPr>
            <w:tcW w:w="8751" w:type="dxa"/>
          </w:tcPr>
          <w:p w:rsidR="002C4503" w:rsidRPr="003F71F1" w:rsidRDefault="002C4503" w:rsidP="00B75DFC">
            <w:pPr>
              <w:ind w:firstLine="1"/>
              <w:jc w:val="both"/>
              <w:rPr>
                <w:b/>
                <w:bCs/>
                <w:szCs w:val="20"/>
                <w:shd w:val="clear" w:color="auto" w:fill="FFFFFF"/>
              </w:rPr>
            </w:pPr>
            <w:r w:rsidRPr="003F71F1">
              <w:rPr>
                <w:b/>
                <w:bCs/>
                <w:szCs w:val="20"/>
                <w:shd w:val="clear" w:color="auto" w:fill="FFFFFF"/>
              </w:rPr>
              <w:t xml:space="preserve">Не всі суб’єкти господарювання потрапляють до </w:t>
            </w:r>
            <w:r w:rsidRPr="003F71F1">
              <w:rPr>
                <w:b/>
                <w:bCs/>
              </w:rPr>
              <w:t>плану здійснення комплексних заходів державного нагляду (контролю), а лише ті, що включені до планів здійснення заходів державного нагляду (контролю) одночасно кількох органів державного нагляду (контролю).</w:t>
            </w:r>
          </w:p>
        </w:tc>
      </w:tr>
      <w:tr w:rsidR="002C4503" w:rsidRPr="003F71F1" w:rsidTr="00B75DFC">
        <w:tc>
          <w:tcPr>
            <w:tcW w:w="996" w:type="dxa"/>
          </w:tcPr>
          <w:p w:rsidR="002C4503" w:rsidRPr="003F71F1" w:rsidRDefault="002C4503" w:rsidP="00080F91">
            <w:pPr>
              <w:jc w:val="both"/>
              <w:rPr>
                <w:b/>
                <w:bCs/>
                <w:szCs w:val="20"/>
              </w:rPr>
            </w:pPr>
          </w:p>
        </w:tc>
        <w:tc>
          <w:tcPr>
            <w:tcW w:w="8751" w:type="dxa"/>
          </w:tcPr>
          <w:p w:rsidR="002C4503" w:rsidRPr="003F71F1" w:rsidRDefault="002C4503" w:rsidP="000D1795">
            <w:pPr>
              <w:ind w:firstLine="1"/>
              <w:jc w:val="both"/>
              <w:rPr>
                <w:b/>
                <w:bCs/>
                <w:szCs w:val="20"/>
                <w:shd w:val="clear" w:color="auto" w:fill="FFFFFF"/>
              </w:rPr>
            </w:pPr>
            <w:r w:rsidRPr="003F71F1">
              <w:rPr>
                <w:b/>
                <w:bCs/>
                <w:szCs w:val="20"/>
                <w:shd w:val="clear" w:color="auto" w:fill="FFFFFF"/>
              </w:rPr>
              <w:t xml:space="preserve">Єдиним призначенням </w:t>
            </w:r>
            <w:r w:rsidRPr="003F71F1">
              <w:rPr>
                <w:b/>
                <w:bCs/>
              </w:rPr>
              <w:t>плану здійснення комплексних заходів державного нагляду (контролю) є:</w:t>
            </w:r>
          </w:p>
        </w:tc>
      </w:tr>
      <w:tr w:rsidR="002C4503" w:rsidRPr="003F71F1" w:rsidTr="00B75DFC">
        <w:tc>
          <w:tcPr>
            <w:tcW w:w="996" w:type="dxa"/>
          </w:tcPr>
          <w:p w:rsidR="002C4503" w:rsidRPr="003F71F1" w:rsidRDefault="002C4503" w:rsidP="00080F91">
            <w:pPr>
              <w:jc w:val="both"/>
              <w:rPr>
                <w:b/>
                <w:bCs/>
                <w:szCs w:val="20"/>
              </w:rPr>
            </w:pPr>
          </w:p>
        </w:tc>
        <w:tc>
          <w:tcPr>
            <w:tcW w:w="8751" w:type="dxa"/>
          </w:tcPr>
          <w:p w:rsidR="002C4503" w:rsidRPr="003F71F1" w:rsidRDefault="002C4503" w:rsidP="00B75DFC">
            <w:pPr>
              <w:ind w:firstLine="1"/>
              <w:jc w:val="both"/>
              <w:rPr>
                <w:b/>
                <w:bCs/>
                <w:szCs w:val="20"/>
                <w:shd w:val="clear" w:color="auto" w:fill="FFFFFF"/>
              </w:rPr>
            </w:pPr>
            <w:r w:rsidRPr="003F71F1">
              <w:rPr>
                <w:b/>
                <w:bCs/>
              </w:rPr>
              <w:t>- об’єднання у одному переліку усіх суб’єктів господарювання, які включені до планів здійснення заходів державного нагляду (контролю) одночасно кількох органів державного нагляду (контролю);</w:t>
            </w:r>
          </w:p>
        </w:tc>
      </w:tr>
      <w:tr w:rsidR="002C4503" w:rsidRPr="003F71F1" w:rsidTr="00B75DFC">
        <w:tc>
          <w:tcPr>
            <w:tcW w:w="996" w:type="dxa"/>
          </w:tcPr>
          <w:p w:rsidR="002C4503" w:rsidRPr="003F71F1" w:rsidRDefault="002C4503" w:rsidP="00080F91">
            <w:pPr>
              <w:jc w:val="both"/>
              <w:rPr>
                <w:b/>
                <w:bCs/>
                <w:szCs w:val="20"/>
              </w:rPr>
            </w:pPr>
          </w:p>
        </w:tc>
        <w:tc>
          <w:tcPr>
            <w:tcW w:w="8751" w:type="dxa"/>
          </w:tcPr>
          <w:p w:rsidR="002C4503" w:rsidRPr="003F71F1" w:rsidRDefault="002C4503" w:rsidP="000D1795">
            <w:pPr>
              <w:ind w:firstLine="1"/>
              <w:jc w:val="both"/>
              <w:rPr>
                <w:b/>
                <w:bCs/>
              </w:rPr>
            </w:pPr>
            <w:r w:rsidRPr="003F71F1">
              <w:rPr>
                <w:b/>
                <w:bCs/>
              </w:rPr>
              <w:t xml:space="preserve">- встановлення однієї для всіх органів державного нагляду (контролю) дати початку </w:t>
            </w:r>
            <w:r w:rsidRPr="003F71F1">
              <w:rPr>
                <w:b/>
                <w:bCs/>
                <w:shd w:val="clear" w:color="auto" w:fill="FFFFFF"/>
              </w:rPr>
              <w:t>здійснення комплексних планових заходів державного нагляду (контролю) щодо таких суб’єктів.</w:t>
            </w:r>
          </w:p>
        </w:tc>
      </w:tr>
      <w:tr w:rsidR="002C4503" w:rsidRPr="003F71F1" w:rsidTr="00B75DFC">
        <w:tc>
          <w:tcPr>
            <w:tcW w:w="996" w:type="dxa"/>
          </w:tcPr>
          <w:p w:rsidR="002C4503" w:rsidRPr="003F71F1" w:rsidRDefault="002C4503" w:rsidP="00080F91">
            <w:pPr>
              <w:jc w:val="both"/>
              <w:rPr>
                <w:b/>
                <w:bCs/>
                <w:szCs w:val="20"/>
              </w:rPr>
            </w:pPr>
          </w:p>
        </w:tc>
        <w:tc>
          <w:tcPr>
            <w:tcW w:w="8751" w:type="dxa"/>
          </w:tcPr>
          <w:p w:rsidR="002C4503" w:rsidRPr="003F71F1" w:rsidRDefault="002C4503" w:rsidP="000D1795">
            <w:pPr>
              <w:ind w:firstLine="1"/>
              <w:jc w:val="both"/>
              <w:rPr>
                <w:b/>
                <w:bCs/>
              </w:rPr>
            </w:pPr>
          </w:p>
        </w:tc>
      </w:tr>
    </w:tbl>
    <w:p w:rsidR="002C4503" w:rsidRPr="00447A90" w:rsidRDefault="002C4503" w:rsidP="003813F8">
      <w:pPr>
        <w:ind w:firstLine="567"/>
        <w:jc w:val="both"/>
      </w:pPr>
    </w:p>
    <w:p w:rsidR="002C4503" w:rsidRPr="00447A90" w:rsidRDefault="002C4503" w:rsidP="003813F8">
      <w:pPr>
        <w:ind w:firstLine="567"/>
        <w:jc w:val="both"/>
        <w:rPr>
          <w:b/>
          <w:bCs/>
        </w:rPr>
      </w:pPr>
      <w:r w:rsidRPr="00447A90">
        <w:rPr>
          <w:b/>
          <w:bCs/>
        </w:rPr>
        <w:t xml:space="preserve">3. Щодо </w:t>
      </w:r>
      <w:r w:rsidRPr="00447A90">
        <w:rPr>
          <w:b/>
          <w:bCs/>
          <w:szCs w:val="28"/>
        </w:rPr>
        <w:t>відмови суб’єктів господарювання від проведення заходів державного нагляду (контролю)</w:t>
      </w:r>
    </w:p>
    <w:p w:rsidR="002C4503" w:rsidRPr="00447A90" w:rsidRDefault="002C4503" w:rsidP="003813F8">
      <w:pPr>
        <w:ind w:firstLine="567"/>
        <w:jc w:val="both"/>
      </w:pPr>
    </w:p>
    <w:p w:rsidR="002C4503" w:rsidRPr="00447A90" w:rsidRDefault="002C4503" w:rsidP="00B22CBF">
      <w:pPr>
        <w:spacing w:line="228" w:lineRule="auto"/>
        <w:ind w:firstLine="567"/>
        <w:jc w:val="both"/>
        <w:rPr>
          <w:szCs w:val="28"/>
        </w:rPr>
      </w:pPr>
      <w:r w:rsidRPr="00447A90">
        <w:rPr>
          <w:szCs w:val="28"/>
        </w:rPr>
        <w:t xml:space="preserve">Суб’єкт господарювання має право </w:t>
      </w:r>
      <w:bookmarkStart w:id="4" w:name="_Hlk53264816"/>
      <w:r w:rsidRPr="00447A90">
        <w:rPr>
          <w:szCs w:val="28"/>
        </w:rPr>
        <w:t>відмовитися від проведення комплексного планового заходу державного нагляду (контролю)</w:t>
      </w:r>
      <w:bookmarkEnd w:id="4"/>
      <w:r w:rsidRPr="00447A90">
        <w:rPr>
          <w:szCs w:val="28"/>
        </w:rPr>
        <w:t xml:space="preserve"> шляхом письмового звернення до Державної регуляторної служби України.</w:t>
      </w:r>
    </w:p>
    <w:p w:rsidR="002C4503" w:rsidRPr="00447A90" w:rsidRDefault="002C4503" w:rsidP="00B73B87">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Єдиним наслідком, який слідує за виключенням суб’єкта господарювання з плану здійснення комплексних заходів державного нагляду (контролю), є повернення дат початку здійснення планових заходів державного нагляду (контролю) у річних планах органів державного нагляду (контролю) до дат, які кожним окремо органом державного нагляду (контролю) були визначені спочатку.</w:t>
      </w:r>
    </w:p>
    <w:p w:rsidR="002C4503" w:rsidRPr="00447A90" w:rsidRDefault="002C4503" w:rsidP="00B22CBF">
      <w:pPr>
        <w:spacing w:line="228" w:lineRule="auto"/>
        <w:ind w:firstLine="567"/>
        <w:jc w:val="both"/>
        <w:rPr>
          <w:szCs w:val="28"/>
        </w:rPr>
      </w:pPr>
      <w:r w:rsidRPr="00447A90">
        <w:rPr>
          <w:szCs w:val="28"/>
        </w:rPr>
        <w:t>У такому разі перевірка такого суб’єкта господарювання проводиться у дати, встановлені річними планами органів державного нагляду (контролю).</w:t>
      </w:r>
    </w:p>
    <w:p w:rsidR="002C4503" w:rsidRPr="00447A90" w:rsidRDefault="002C4503" w:rsidP="00B22CBF">
      <w:pPr>
        <w:spacing w:line="228" w:lineRule="auto"/>
        <w:ind w:firstLine="567"/>
        <w:jc w:val="both"/>
        <w:rPr>
          <w:szCs w:val="28"/>
        </w:rPr>
      </w:pPr>
    </w:p>
    <w:tbl>
      <w:tblPr>
        <w:tblW w:w="9889" w:type="dxa"/>
        <w:tblLook w:val="00A0" w:firstRow="1" w:lastRow="0" w:firstColumn="1" w:lastColumn="0" w:noHBand="0" w:noVBand="0"/>
      </w:tblPr>
      <w:tblGrid>
        <w:gridCol w:w="1311"/>
        <w:gridCol w:w="8578"/>
      </w:tblGrid>
      <w:tr w:rsidR="002C4503" w:rsidRPr="003F71F1" w:rsidTr="00080F91">
        <w:tc>
          <w:tcPr>
            <w:tcW w:w="1242" w:type="dxa"/>
            <w:shd w:val="clear" w:color="auto" w:fill="FFFF00"/>
          </w:tcPr>
          <w:p w:rsidR="002C4503" w:rsidRPr="003F71F1" w:rsidRDefault="0068422A" w:rsidP="00080F91">
            <w:pPr>
              <w:jc w:val="both"/>
              <w:rPr>
                <w:szCs w:val="20"/>
                <w:highlight w:val="yellow"/>
                <w:shd w:val="clear" w:color="auto" w:fill="FFFFFF"/>
              </w:rPr>
            </w:pPr>
            <w:r>
              <w:rPr>
                <w:noProof/>
                <w:szCs w:val="20"/>
                <w:lang w:eastAsia="uk-UA"/>
              </w:rPr>
              <w:drawing>
                <wp:inline distT="0" distB="0" distL="0" distR="0">
                  <wp:extent cx="695325" cy="8667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c>
          <w:tcPr>
            <w:tcW w:w="8647" w:type="dxa"/>
            <w:shd w:val="clear" w:color="auto" w:fill="FFFF00"/>
            <w:vAlign w:val="center"/>
          </w:tcPr>
          <w:p w:rsidR="002C4503" w:rsidRPr="003F71F1" w:rsidRDefault="002C4503" w:rsidP="00596859">
            <w:pPr>
              <w:jc w:val="both"/>
              <w:rPr>
                <w:b/>
                <w:bCs/>
                <w:szCs w:val="20"/>
                <w:shd w:val="clear" w:color="auto" w:fill="FFFFFF"/>
              </w:rPr>
            </w:pPr>
            <w:r w:rsidRPr="003F71F1">
              <w:rPr>
                <w:b/>
                <w:bCs/>
                <w:szCs w:val="20"/>
                <w:highlight w:val="yellow"/>
                <w:shd w:val="clear" w:color="auto" w:fill="FFFFFF"/>
              </w:rPr>
              <w:t>Що необхідно врахувати суб’єктам господарювання, відмовляючись від проведення комплексного планового заходу державного нагляду (контролю)</w:t>
            </w:r>
          </w:p>
        </w:tc>
      </w:tr>
    </w:tbl>
    <w:p w:rsidR="002C4503" w:rsidRPr="00447A90" w:rsidRDefault="002C4503" w:rsidP="00B22CBF">
      <w:pPr>
        <w:spacing w:line="228" w:lineRule="auto"/>
        <w:ind w:firstLine="567"/>
        <w:jc w:val="both"/>
        <w:rPr>
          <w:szCs w:val="28"/>
        </w:rPr>
      </w:pPr>
    </w:p>
    <w:p w:rsidR="002C4503" w:rsidRPr="00447A90" w:rsidRDefault="002C4503" w:rsidP="00517A10">
      <w:pPr>
        <w:spacing w:line="228" w:lineRule="auto"/>
        <w:ind w:firstLine="567"/>
        <w:jc w:val="both"/>
        <w:rPr>
          <w:szCs w:val="28"/>
        </w:rPr>
      </w:pPr>
      <w:r w:rsidRPr="00447A90">
        <w:rPr>
          <w:szCs w:val="28"/>
        </w:rPr>
        <w:t>План здійснення комплексних заходів державного нагляду (контролю) на 202</w:t>
      </w:r>
      <w:r w:rsidR="00BD7BDB">
        <w:rPr>
          <w:szCs w:val="28"/>
        </w:rPr>
        <w:t>2</w:t>
      </w:r>
      <w:r w:rsidRPr="00447A90">
        <w:rPr>
          <w:szCs w:val="28"/>
        </w:rPr>
        <w:t xml:space="preserve"> рік буде затверджений Державною регуляторною службою України </w:t>
      </w:r>
      <w:r w:rsidRPr="00447A90">
        <w:rPr>
          <w:szCs w:val="28"/>
        </w:rPr>
        <w:br/>
        <w:t>15 листопада 202</w:t>
      </w:r>
      <w:r w:rsidR="00BD7BDB">
        <w:rPr>
          <w:szCs w:val="28"/>
        </w:rPr>
        <w:t>1</w:t>
      </w:r>
      <w:r w:rsidRPr="00447A90">
        <w:rPr>
          <w:szCs w:val="28"/>
        </w:rPr>
        <w:t xml:space="preserve"> року.</w:t>
      </w:r>
    </w:p>
    <w:p w:rsidR="002C4503" w:rsidRPr="00447A90" w:rsidRDefault="002C4503" w:rsidP="00517A10">
      <w:pPr>
        <w:spacing w:line="228" w:lineRule="auto"/>
        <w:ind w:firstLine="567"/>
        <w:jc w:val="both"/>
        <w:rPr>
          <w:szCs w:val="28"/>
        </w:rPr>
      </w:pPr>
      <w:r w:rsidRPr="00447A90">
        <w:rPr>
          <w:szCs w:val="28"/>
        </w:rPr>
        <w:t>Після затвердження Плану здійснення комплексних заходів державного нагляду (контролю) на 202</w:t>
      </w:r>
      <w:r w:rsidR="00BD7BDB">
        <w:rPr>
          <w:szCs w:val="28"/>
        </w:rPr>
        <w:t>2</w:t>
      </w:r>
      <w:r w:rsidRPr="00447A90">
        <w:rPr>
          <w:szCs w:val="28"/>
        </w:rPr>
        <w:t xml:space="preserve"> рік дати початку здійснення планових заходів державного нагляду (контролю) суб’єктів господарювання, які </w:t>
      </w:r>
      <w:r w:rsidRPr="00447A90">
        <w:t xml:space="preserve">включені до річних планів здійснення заходів державного нагляду (контролю) одночасно кількох органів державного нагляду (контролю), будуть замінені у їх річних планах на дати, встановлені </w:t>
      </w:r>
      <w:r w:rsidRPr="00447A90">
        <w:rPr>
          <w:szCs w:val="28"/>
        </w:rPr>
        <w:t>Планом здійснення комплексних заходів держа</w:t>
      </w:r>
      <w:r w:rsidR="0091476B">
        <w:rPr>
          <w:szCs w:val="28"/>
        </w:rPr>
        <w:t>вного нагляду (контролю) на 2022</w:t>
      </w:r>
      <w:r w:rsidRPr="00447A90">
        <w:rPr>
          <w:szCs w:val="28"/>
        </w:rPr>
        <w:t xml:space="preserve"> рік.</w:t>
      </w:r>
    </w:p>
    <w:p w:rsidR="002C4503" w:rsidRPr="00447A90" w:rsidRDefault="002C4503" w:rsidP="00517A10">
      <w:pPr>
        <w:spacing w:line="228" w:lineRule="auto"/>
        <w:ind w:firstLine="567"/>
        <w:jc w:val="both"/>
        <w:rPr>
          <w:szCs w:val="28"/>
        </w:rPr>
      </w:pPr>
      <w:r w:rsidRPr="00447A90">
        <w:rPr>
          <w:szCs w:val="28"/>
        </w:rPr>
        <w:t>Починаючи з 15 листопада 202</w:t>
      </w:r>
      <w:r w:rsidR="0091476B">
        <w:rPr>
          <w:szCs w:val="28"/>
        </w:rPr>
        <w:t>1</w:t>
      </w:r>
      <w:r w:rsidRPr="00447A90">
        <w:rPr>
          <w:szCs w:val="28"/>
        </w:rPr>
        <w:t xml:space="preserve"> року і до 01 грудня 202</w:t>
      </w:r>
      <w:r w:rsidR="0091476B">
        <w:rPr>
          <w:szCs w:val="28"/>
        </w:rPr>
        <w:t>1</w:t>
      </w:r>
      <w:r w:rsidRPr="00447A90">
        <w:rPr>
          <w:szCs w:val="28"/>
        </w:rPr>
        <w:t xml:space="preserve"> року, органи державного нагляду (контролю) будуть затверджувати свої річні плани здійснення заходів державного нагляду (контролю), вже з урахуванням дат, встановлених Планом здійснення комплексних заходів державного нагляду (контролю) на 202</w:t>
      </w:r>
      <w:r w:rsidR="0091476B">
        <w:rPr>
          <w:szCs w:val="28"/>
        </w:rPr>
        <w:t>2</w:t>
      </w:r>
      <w:r w:rsidRPr="00447A90">
        <w:rPr>
          <w:szCs w:val="28"/>
        </w:rPr>
        <w:t xml:space="preserve"> рік.</w:t>
      </w:r>
    </w:p>
    <w:p w:rsidR="002C4503" w:rsidRPr="00447A90" w:rsidRDefault="002C4503" w:rsidP="00517A10">
      <w:pPr>
        <w:spacing w:line="228" w:lineRule="auto"/>
        <w:ind w:firstLine="567"/>
        <w:jc w:val="both"/>
        <w:rPr>
          <w:szCs w:val="28"/>
        </w:rPr>
      </w:pPr>
      <w:bookmarkStart w:id="5" w:name="_Hlk53263336"/>
      <w:r w:rsidRPr="00447A90">
        <w:t>Закон України «Про основні засади державного нагляду (контролю) у сфері господарської діяльності»</w:t>
      </w:r>
      <w:bookmarkEnd w:id="5"/>
      <w:r w:rsidRPr="00447A90">
        <w:t xml:space="preserve"> </w:t>
      </w:r>
      <w:r w:rsidRPr="00447A90">
        <w:rPr>
          <w:b/>
          <w:bCs/>
        </w:rPr>
        <w:t>забороняє</w:t>
      </w:r>
      <w:r w:rsidRPr="00447A90">
        <w:t xml:space="preserve"> в</w:t>
      </w:r>
      <w:r w:rsidRPr="00447A90">
        <w:rPr>
          <w:szCs w:val="28"/>
        </w:rPr>
        <w:t>несення змін до річних планів здійснення заходів державного нагляду (контролю), крім випадків зміни найменування суб’єкта господарювання та виправлення технічних помилок.</w:t>
      </w:r>
    </w:p>
    <w:p w:rsidR="002C4503" w:rsidRPr="00447A90" w:rsidRDefault="002C4503" w:rsidP="00517A10">
      <w:pPr>
        <w:spacing w:line="228" w:lineRule="auto"/>
        <w:ind w:firstLine="567"/>
        <w:jc w:val="both"/>
        <w:rPr>
          <w:szCs w:val="28"/>
        </w:rPr>
      </w:pPr>
      <w:r w:rsidRPr="00447A90">
        <w:rPr>
          <w:szCs w:val="28"/>
        </w:rPr>
        <w:t xml:space="preserve">Отже, виключення Державною регуляторною службою України суб’єкта господарювання із Плану здійснення комплексних заходів державного нагляду </w:t>
      </w:r>
      <w:r w:rsidRPr="00447A90">
        <w:rPr>
          <w:szCs w:val="28"/>
        </w:rPr>
        <w:lastRenderedPageBreak/>
        <w:t>(контролю) на 202</w:t>
      </w:r>
      <w:r w:rsidR="0091476B">
        <w:rPr>
          <w:szCs w:val="28"/>
        </w:rPr>
        <w:t>2</w:t>
      </w:r>
      <w:r w:rsidRPr="00447A90">
        <w:rPr>
          <w:szCs w:val="28"/>
        </w:rPr>
        <w:t xml:space="preserve"> рік за його письмовим зверненням не буде підставою для внесення органами державного нагляду (контролю) змін у дати початку здійснення планових заходів державного нагляду (контролю) у своїх </w:t>
      </w:r>
      <w:r>
        <w:rPr>
          <w:szCs w:val="28"/>
        </w:rPr>
        <w:t xml:space="preserve">річних </w:t>
      </w:r>
      <w:r w:rsidRPr="00447A90">
        <w:rPr>
          <w:szCs w:val="28"/>
        </w:rPr>
        <w:t>планах.</w:t>
      </w:r>
    </w:p>
    <w:p w:rsidR="002C4503" w:rsidRPr="00447A90" w:rsidRDefault="002C4503" w:rsidP="00517A10">
      <w:pPr>
        <w:spacing w:line="228" w:lineRule="auto"/>
        <w:ind w:firstLine="567"/>
        <w:jc w:val="both"/>
        <w:rPr>
          <w:szCs w:val="28"/>
        </w:rPr>
      </w:pPr>
      <w:r>
        <w:rPr>
          <w:szCs w:val="28"/>
        </w:rPr>
        <w:t>З</w:t>
      </w:r>
      <w:r w:rsidRPr="00447A90">
        <w:rPr>
          <w:szCs w:val="28"/>
        </w:rPr>
        <w:t xml:space="preserve">вернення суб’єкта господарювання про відмову від </w:t>
      </w:r>
      <w:bookmarkStart w:id="6" w:name="_Hlk53263484"/>
      <w:r w:rsidRPr="00447A90">
        <w:rPr>
          <w:szCs w:val="28"/>
        </w:rPr>
        <w:t>проведення комплексного планового заходу</w:t>
      </w:r>
      <w:bookmarkEnd w:id="6"/>
      <w:r w:rsidRPr="00447A90">
        <w:rPr>
          <w:szCs w:val="28"/>
        </w:rPr>
        <w:t xml:space="preserve"> може бути задоволене виключно у період з моменту формування Інспекційним порталом проекту </w:t>
      </w:r>
      <w:r w:rsidRPr="00447A90">
        <w:rPr>
          <w:bCs/>
          <w:szCs w:val="28"/>
        </w:rPr>
        <w:t>плану</w:t>
      </w:r>
      <w:r w:rsidRPr="00447A90">
        <w:rPr>
          <w:szCs w:val="28"/>
        </w:rPr>
        <w:t xml:space="preserve"> здійснення комплексних заходів державного нагляду (контролю) до моменту його затвердження Державною регуляторною службою України, </w:t>
      </w:r>
      <w:r w:rsidRPr="00447A90">
        <w:rPr>
          <w:b/>
          <w:bCs/>
          <w:szCs w:val="28"/>
        </w:rPr>
        <w:t>тобто з 15 жовтня 202</w:t>
      </w:r>
      <w:r w:rsidR="0091476B">
        <w:rPr>
          <w:b/>
          <w:bCs/>
          <w:szCs w:val="28"/>
        </w:rPr>
        <w:t>1</w:t>
      </w:r>
      <w:r w:rsidRPr="00447A90">
        <w:rPr>
          <w:b/>
          <w:bCs/>
          <w:szCs w:val="28"/>
        </w:rPr>
        <w:t xml:space="preserve"> року до 15 листопада 202</w:t>
      </w:r>
      <w:r w:rsidR="0091476B">
        <w:rPr>
          <w:b/>
          <w:bCs/>
          <w:szCs w:val="28"/>
        </w:rPr>
        <w:t>1</w:t>
      </w:r>
      <w:r w:rsidRPr="00447A90">
        <w:rPr>
          <w:b/>
          <w:bCs/>
          <w:szCs w:val="28"/>
        </w:rPr>
        <w:t xml:space="preserve"> року</w:t>
      </w:r>
      <w:r w:rsidRPr="00447A90">
        <w:rPr>
          <w:szCs w:val="28"/>
        </w:rPr>
        <w:t>.</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 xml:space="preserve">Також слід врахувати, що положення Закону України «Про основні засади державного нагляду (контролю) у сфері господарської діяльності» </w:t>
      </w:r>
      <w:r w:rsidRPr="00447A90">
        <w:rPr>
          <w:rFonts w:ascii="Times New Roman" w:hAnsi="Times New Roman"/>
          <w:b/>
          <w:bCs/>
          <w:sz w:val="28"/>
          <w:szCs w:val="28"/>
          <w:lang w:val="uk-UA"/>
        </w:rPr>
        <w:t>не вимагають</w:t>
      </w:r>
      <w:r w:rsidRPr="00447A90">
        <w:rPr>
          <w:rFonts w:ascii="Times New Roman" w:hAnsi="Times New Roman"/>
          <w:sz w:val="28"/>
          <w:szCs w:val="28"/>
          <w:lang w:val="uk-UA"/>
        </w:rPr>
        <w:t xml:space="preserve"> від суб’єктів господарювання </w:t>
      </w:r>
      <w:r w:rsidRPr="00447A90">
        <w:rPr>
          <w:rFonts w:ascii="Times New Roman" w:hAnsi="Times New Roman"/>
          <w:b/>
          <w:bCs/>
          <w:sz w:val="28"/>
          <w:szCs w:val="28"/>
          <w:lang w:val="uk-UA"/>
        </w:rPr>
        <w:t>мотивувати або обґрунтовувати</w:t>
      </w:r>
      <w:r w:rsidRPr="00447A90">
        <w:rPr>
          <w:rFonts w:ascii="Times New Roman" w:hAnsi="Times New Roman"/>
          <w:sz w:val="28"/>
          <w:szCs w:val="28"/>
          <w:lang w:val="uk-UA"/>
        </w:rPr>
        <w:t xml:space="preserve"> свою відмову від проведення комплексного планового заходу.</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 xml:space="preserve">Зразок оформлення такої відмови можна переглянути, перейшовши за посиланням </w:t>
      </w:r>
      <w:hyperlink r:id="rId11" w:history="1">
        <w:r w:rsidRPr="00447A90">
          <w:rPr>
            <w:rStyle w:val="a3"/>
            <w:rFonts w:ascii="Times New Roman" w:hAnsi="Times New Roman" w:cs="Courier New"/>
            <w:sz w:val="28"/>
            <w:szCs w:val="28"/>
            <w:lang w:val="uk-UA"/>
          </w:rPr>
          <w:t>https://inspections.gov.ua/ready4/publication/view?id=50</w:t>
        </w:r>
      </w:hyperlink>
      <w:r w:rsidRPr="00447A90">
        <w:rPr>
          <w:rFonts w:ascii="Times New Roman" w:hAnsi="Times New Roman"/>
          <w:sz w:val="28"/>
          <w:szCs w:val="28"/>
          <w:lang w:val="uk-UA"/>
        </w:rPr>
        <w:t>.</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b/>
          <w:bCs/>
          <w:sz w:val="28"/>
          <w:szCs w:val="28"/>
          <w:lang w:val="uk-UA"/>
        </w:rPr>
        <w:t>Звернення, що будуть містити будь-які обґрунтування</w:t>
      </w:r>
      <w:r w:rsidRPr="00447A90">
        <w:rPr>
          <w:rFonts w:ascii="Times New Roman" w:hAnsi="Times New Roman"/>
          <w:sz w:val="28"/>
          <w:szCs w:val="28"/>
          <w:lang w:val="uk-UA"/>
        </w:rPr>
        <w:t>, пов’язані, на думку суб’єкта господарювання:</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з порушеннями періодичності проведення планових заходів державного нагляду (контролю);</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незгодою зі ступенем ризику, до якого органом державного нагляду (контролю) віднесено суб’єкта господарювання;</w:t>
      </w:r>
    </w:p>
    <w:p w:rsidR="002C4503" w:rsidRPr="00447A90" w:rsidRDefault="002C4503" w:rsidP="00C36CE8">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незгодою з датою початку проведення та строком здійснення комплексних планових заходів державного нагляду (контролю) тощо,</w:t>
      </w:r>
      <w:r w:rsidR="00C36CE8">
        <w:rPr>
          <w:rFonts w:ascii="Times New Roman" w:hAnsi="Times New Roman"/>
          <w:sz w:val="28"/>
          <w:szCs w:val="28"/>
          <w:lang w:val="uk-UA"/>
        </w:rPr>
        <w:t xml:space="preserve"> </w:t>
      </w:r>
      <w:bookmarkStart w:id="7" w:name="_GoBack"/>
      <w:bookmarkEnd w:id="7"/>
      <w:r w:rsidRPr="00447A90">
        <w:rPr>
          <w:rFonts w:ascii="Times New Roman" w:hAnsi="Times New Roman"/>
          <w:sz w:val="28"/>
          <w:szCs w:val="28"/>
          <w:lang w:val="uk-UA"/>
        </w:rPr>
        <w:t xml:space="preserve">Державна регуляторна служба України </w:t>
      </w:r>
      <w:r w:rsidRPr="00447A90">
        <w:rPr>
          <w:rFonts w:ascii="Times New Roman" w:hAnsi="Times New Roman"/>
          <w:b/>
          <w:bCs/>
          <w:sz w:val="28"/>
          <w:szCs w:val="28"/>
          <w:lang w:val="uk-UA"/>
        </w:rPr>
        <w:t>задовольняти не буде</w:t>
      </w:r>
      <w:r w:rsidRPr="00447A90">
        <w:rPr>
          <w:rFonts w:ascii="Times New Roman" w:hAnsi="Times New Roman"/>
          <w:sz w:val="28"/>
          <w:szCs w:val="28"/>
          <w:lang w:val="uk-UA"/>
        </w:rPr>
        <w:t>, оскільки у такому випадку виключення суб’єкта господарювання з проекту плану здійснення комплексних заходів державного нагляду (контролю) не вирішуватиме порушені у ньому питання.</w:t>
      </w:r>
    </w:p>
    <w:p w:rsidR="002C4503" w:rsidRPr="00447A90" w:rsidRDefault="002C4503" w:rsidP="00517A10">
      <w:pPr>
        <w:spacing w:line="228" w:lineRule="auto"/>
        <w:ind w:firstLine="567"/>
        <w:jc w:val="both"/>
        <w:rPr>
          <w:szCs w:val="28"/>
        </w:rPr>
      </w:pPr>
      <w:r w:rsidRPr="00447A90">
        <w:rPr>
          <w:szCs w:val="28"/>
        </w:rPr>
        <w:t xml:space="preserve">Звертаємо увагу, що Закон </w:t>
      </w:r>
      <w:bookmarkStart w:id="8" w:name="_Hlk53268922"/>
      <w:r w:rsidRPr="00447A90">
        <w:rPr>
          <w:szCs w:val="28"/>
        </w:rPr>
        <w:t>України «Про основні засади державного нагляду (контролю) у сфері господарської діяльності»</w:t>
      </w:r>
      <w:bookmarkEnd w:id="8"/>
      <w:r w:rsidRPr="00447A90">
        <w:rPr>
          <w:szCs w:val="28"/>
        </w:rPr>
        <w:t xml:space="preserve"> </w:t>
      </w:r>
      <w:r w:rsidRPr="00447A90">
        <w:rPr>
          <w:b/>
          <w:bCs/>
          <w:szCs w:val="28"/>
        </w:rPr>
        <w:t>не встановлює права суб’єктів господарювання на відмову від проведення заходів державного нагляду (контролю) в цілому і не передбачає можливості відмови суб’єктом господарювання від проведення окремих планових заходів державного нагляду (контролю)</w:t>
      </w:r>
      <w:r w:rsidRPr="00447A90">
        <w:rPr>
          <w:szCs w:val="28"/>
        </w:rPr>
        <w:t xml:space="preserve">, які увійшли до плану здійснення комплексних заходів державного нагляду (контролю), а лише визначає можливість відмовитись від проведення </w:t>
      </w:r>
      <w:r w:rsidRPr="00447A90">
        <w:rPr>
          <w:b/>
          <w:bCs/>
          <w:szCs w:val="28"/>
        </w:rPr>
        <w:t>комплексного</w:t>
      </w:r>
      <w:r w:rsidRPr="00447A90">
        <w:rPr>
          <w:szCs w:val="28"/>
        </w:rPr>
        <w:t xml:space="preserve"> планового заходу, унаслідок чого перевірка такого суб’єкта господарювання проводиться згідно з річними планами органів державного нагляду (контролю).</w:t>
      </w:r>
    </w:p>
    <w:p w:rsidR="002C4503" w:rsidRPr="00447A90" w:rsidRDefault="002C4503" w:rsidP="00517A10">
      <w:pPr>
        <w:spacing w:line="228" w:lineRule="auto"/>
        <w:ind w:firstLine="567"/>
        <w:jc w:val="both"/>
        <w:rPr>
          <w:szCs w:val="28"/>
        </w:rPr>
      </w:pPr>
      <w:r w:rsidRPr="00447A90">
        <w:rPr>
          <w:szCs w:val="28"/>
        </w:rPr>
        <w:t>Враховуючи викладене, Державна регуляторна служба України також не буде задовольняти подібні клопотання суб’єктів господарювання.</w:t>
      </w:r>
    </w:p>
    <w:p w:rsidR="002C4503" w:rsidRPr="00447A90" w:rsidRDefault="002C4503" w:rsidP="00B22CBF">
      <w:pPr>
        <w:pStyle w:val="HTML"/>
        <w:shd w:val="clear" w:color="auto" w:fill="FFFFFF"/>
        <w:ind w:firstLine="567"/>
        <w:jc w:val="both"/>
        <w:rPr>
          <w:rFonts w:ascii="Times New Roman" w:hAnsi="Times New Roman"/>
          <w:sz w:val="28"/>
          <w:szCs w:val="28"/>
          <w:lang w:val="uk-UA"/>
        </w:rPr>
      </w:pPr>
    </w:p>
    <w:tbl>
      <w:tblPr>
        <w:tblW w:w="9747" w:type="dxa"/>
        <w:tblLook w:val="00A0" w:firstRow="1" w:lastRow="0" w:firstColumn="1" w:lastColumn="0" w:noHBand="0" w:noVBand="0"/>
      </w:tblPr>
      <w:tblGrid>
        <w:gridCol w:w="996"/>
        <w:gridCol w:w="8751"/>
      </w:tblGrid>
      <w:tr w:rsidR="002C4503" w:rsidRPr="003F71F1" w:rsidTr="00BA50DD">
        <w:tc>
          <w:tcPr>
            <w:tcW w:w="996" w:type="dxa"/>
          </w:tcPr>
          <w:p w:rsidR="002C4503" w:rsidRPr="003F71F1" w:rsidRDefault="0068422A" w:rsidP="00821A18">
            <w:pPr>
              <w:jc w:val="both"/>
              <w:rPr>
                <w:b/>
                <w:bCs/>
                <w:noProof/>
                <w:szCs w:val="20"/>
              </w:rPr>
            </w:pPr>
            <w:r>
              <w:rPr>
                <w:b/>
                <w:noProof/>
                <w:szCs w:val="20"/>
                <w:lang w:eastAsia="uk-UA"/>
              </w:rPr>
              <w:drawing>
                <wp:inline distT="0" distB="0" distL="0" distR="0">
                  <wp:extent cx="476250" cy="42862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8751" w:type="dxa"/>
            <w:vAlign w:val="center"/>
          </w:tcPr>
          <w:p w:rsidR="002C4503" w:rsidRPr="003F71F1" w:rsidRDefault="002C4503" w:rsidP="00821A18">
            <w:pPr>
              <w:ind w:firstLine="1"/>
              <w:jc w:val="both"/>
              <w:rPr>
                <w:b/>
                <w:bCs/>
              </w:rPr>
            </w:pPr>
            <w:r w:rsidRPr="003F71F1">
              <w:rPr>
                <w:b/>
                <w:bCs/>
                <w:szCs w:val="28"/>
              </w:rPr>
              <w:t xml:space="preserve">Звернення суб’єктів господарювання про відмову від проведення комплексного планового заходу </w:t>
            </w:r>
            <w:r w:rsidRPr="003F71F1">
              <w:rPr>
                <w:b/>
                <w:bCs/>
                <w:szCs w:val="28"/>
                <w:u w:val="single"/>
              </w:rPr>
              <w:t>не будуть задоволені</w:t>
            </w:r>
            <w:r w:rsidRPr="003F71F1">
              <w:rPr>
                <w:b/>
                <w:bCs/>
                <w:szCs w:val="28"/>
              </w:rPr>
              <w:t>, якщо вони:</w:t>
            </w:r>
          </w:p>
        </w:tc>
      </w:tr>
      <w:tr w:rsidR="002C4503" w:rsidRPr="003F71F1" w:rsidTr="00BA50DD">
        <w:tc>
          <w:tcPr>
            <w:tcW w:w="996" w:type="dxa"/>
          </w:tcPr>
          <w:p w:rsidR="002C4503" w:rsidRPr="003F71F1" w:rsidRDefault="002C4503" w:rsidP="00821A18">
            <w:pPr>
              <w:jc w:val="both"/>
              <w:rPr>
                <w:b/>
                <w:bCs/>
                <w:noProof/>
                <w:szCs w:val="20"/>
              </w:rPr>
            </w:pPr>
          </w:p>
        </w:tc>
        <w:tc>
          <w:tcPr>
            <w:tcW w:w="8751" w:type="dxa"/>
            <w:vAlign w:val="center"/>
          </w:tcPr>
          <w:p w:rsidR="002C4503" w:rsidRPr="003F71F1" w:rsidRDefault="002C4503" w:rsidP="00821A18">
            <w:pPr>
              <w:ind w:firstLine="1"/>
              <w:jc w:val="both"/>
              <w:rPr>
                <w:b/>
                <w:bCs/>
                <w:szCs w:val="28"/>
              </w:rPr>
            </w:pPr>
            <w:r w:rsidRPr="003F71F1">
              <w:rPr>
                <w:b/>
                <w:bCs/>
                <w:szCs w:val="28"/>
              </w:rPr>
              <w:t xml:space="preserve">надійдуть до Державної регуляторної служби </w:t>
            </w:r>
            <w:r w:rsidR="0091476B">
              <w:rPr>
                <w:b/>
                <w:bCs/>
                <w:szCs w:val="28"/>
              </w:rPr>
              <w:t xml:space="preserve">України після </w:t>
            </w:r>
            <w:r w:rsidR="0091476B">
              <w:rPr>
                <w:b/>
                <w:bCs/>
                <w:szCs w:val="28"/>
              </w:rPr>
              <w:br/>
              <w:t>15 листопада 2021</w:t>
            </w:r>
            <w:r w:rsidRPr="003F71F1">
              <w:rPr>
                <w:b/>
                <w:bCs/>
                <w:szCs w:val="28"/>
              </w:rPr>
              <w:t xml:space="preserve"> року;</w:t>
            </w:r>
          </w:p>
        </w:tc>
      </w:tr>
      <w:tr w:rsidR="002C4503" w:rsidRPr="003F71F1" w:rsidTr="00BA50DD">
        <w:tc>
          <w:tcPr>
            <w:tcW w:w="996" w:type="dxa"/>
          </w:tcPr>
          <w:p w:rsidR="002C4503" w:rsidRPr="003F71F1" w:rsidRDefault="002C4503" w:rsidP="00821A18">
            <w:pPr>
              <w:jc w:val="both"/>
              <w:rPr>
                <w:b/>
                <w:bCs/>
                <w:noProof/>
                <w:szCs w:val="20"/>
              </w:rPr>
            </w:pPr>
          </w:p>
        </w:tc>
        <w:tc>
          <w:tcPr>
            <w:tcW w:w="8751" w:type="dxa"/>
            <w:vAlign w:val="center"/>
          </w:tcPr>
          <w:p w:rsidR="002C4503" w:rsidRPr="003F71F1" w:rsidRDefault="002C4503" w:rsidP="00821A18">
            <w:pPr>
              <w:ind w:firstLine="1"/>
              <w:jc w:val="both"/>
              <w:rPr>
                <w:b/>
                <w:bCs/>
                <w:szCs w:val="28"/>
              </w:rPr>
            </w:pPr>
            <w:r w:rsidRPr="003F71F1">
              <w:rPr>
                <w:b/>
                <w:bCs/>
                <w:szCs w:val="28"/>
              </w:rPr>
              <w:t>будуть містити будь-які обґрунтування відмови від проведення комплексного планового заходу;</w:t>
            </w:r>
          </w:p>
        </w:tc>
      </w:tr>
      <w:tr w:rsidR="002C4503" w:rsidRPr="003F71F1" w:rsidTr="00080F91">
        <w:tc>
          <w:tcPr>
            <w:tcW w:w="996" w:type="dxa"/>
          </w:tcPr>
          <w:p w:rsidR="002C4503" w:rsidRPr="003F71F1" w:rsidRDefault="002C4503" w:rsidP="00080F91">
            <w:pPr>
              <w:jc w:val="both"/>
              <w:rPr>
                <w:b/>
                <w:bCs/>
                <w:noProof/>
                <w:szCs w:val="20"/>
              </w:rPr>
            </w:pPr>
          </w:p>
        </w:tc>
        <w:tc>
          <w:tcPr>
            <w:tcW w:w="8751" w:type="dxa"/>
            <w:vAlign w:val="center"/>
          </w:tcPr>
          <w:p w:rsidR="002C4503" w:rsidRPr="003F71F1" w:rsidRDefault="002C4503" w:rsidP="00080F91">
            <w:pPr>
              <w:ind w:firstLine="1"/>
              <w:jc w:val="both"/>
              <w:rPr>
                <w:b/>
                <w:bCs/>
              </w:rPr>
            </w:pPr>
            <w:r w:rsidRPr="003F71F1">
              <w:rPr>
                <w:b/>
                <w:bCs/>
                <w:szCs w:val="28"/>
              </w:rPr>
              <w:t>будуть містити відмову від проведення заходів державного нагляду (контролю) в цілому або відмову від проведення окремих планових заходів державного нагляду (контролю), які увійшли до плану здійснення комплексних заходів державного нагляду (контролю).</w:t>
            </w:r>
          </w:p>
        </w:tc>
      </w:tr>
    </w:tbl>
    <w:p w:rsidR="002C4503" w:rsidRPr="00447A90" w:rsidRDefault="002C4503" w:rsidP="00B22CBF">
      <w:pPr>
        <w:pStyle w:val="HTML"/>
        <w:shd w:val="clear" w:color="auto" w:fill="FFFFFF"/>
        <w:ind w:firstLine="567"/>
        <w:jc w:val="both"/>
        <w:rPr>
          <w:rFonts w:ascii="Times New Roman" w:hAnsi="Times New Roman"/>
          <w:sz w:val="28"/>
          <w:szCs w:val="28"/>
          <w:lang w:val="uk-UA"/>
        </w:rPr>
      </w:pPr>
    </w:p>
    <w:p w:rsidR="002C4503" w:rsidRPr="00447A90" w:rsidRDefault="002C4503" w:rsidP="00132E71">
      <w:pPr>
        <w:ind w:firstLine="567"/>
        <w:jc w:val="both"/>
        <w:rPr>
          <w:b/>
          <w:bCs/>
        </w:rPr>
      </w:pPr>
      <w:r w:rsidRPr="00447A90">
        <w:rPr>
          <w:b/>
          <w:bCs/>
        </w:rPr>
        <w:t>4. </w:t>
      </w:r>
      <w:bookmarkStart w:id="9" w:name="_Hlk53268521"/>
      <w:r w:rsidRPr="00447A90">
        <w:rPr>
          <w:b/>
          <w:bCs/>
        </w:rPr>
        <w:t xml:space="preserve">Щодо </w:t>
      </w:r>
      <w:r w:rsidRPr="00447A90">
        <w:rPr>
          <w:b/>
          <w:bCs/>
          <w:szCs w:val="28"/>
        </w:rPr>
        <w:t>незгоди суб’єктів господарювання з датою початку здійснення комплексних планових заходів державного нагляду (контролю)</w:t>
      </w:r>
      <w:bookmarkEnd w:id="9"/>
    </w:p>
    <w:p w:rsidR="002C4503" w:rsidRPr="00447A90" w:rsidRDefault="002C4503" w:rsidP="00B22CBF">
      <w:pPr>
        <w:pStyle w:val="HTML"/>
        <w:shd w:val="clear" w:color="auto" w:fill="FFFFFF"/>
        <w:ind w:firstLine="567"/>
        <w:jc w:val="both"/>
        <w:rPr>
          <w:rFonts w:ascii="Times New Roman" w:hAnsi="Times New Roman"/>
          <w:sz w:val="28"/>
          <w:szCs w:val="28"/>
          <w:lang w:val="uk-UA"/>
        </w:rPr>
      </w:pPr>
    </w:p>
    <w:p w:rsidR="002C4503" w:rsidRPr="00447A90" w:rsidRDefault="002C4503" w:rsidP="00132E71">
      <w:pPr>
        <w:ind w:firstLine="567"/>
        <w:jc w:val="both"/>
        <w:rPr>
          <w:shd w:val="clear" w:color="auto" w:fill="FFFFFF"/>
        </w:rPr>
      </w:pPr>
      <w:r w:rsidRPr="00447A90">
        <w:rPr>
          <w:shd w:val="clear" w:color="auto" w:fill="FFFFFF"/>
        </w:rPr>
        <w:t xml:space="preserve">До 1 листопада 2021 року органи державного нагляду (контролю), за потреби, матимуть можливість </w:t>
      </w:r>
      <w:proofErr w:type="spellStart"/>
      <w:r w:rsidRPr="00447A90">
        <w:rPr>
          <w:shd w:val="clear" w:color="auto" w:fill="FFFFFF"/>
        </w:rPr>
        <w:t>внести</w:t>
      </w:r>
      <w:proofErr w:type="spellEnd"/>
      <w:r w:rsidRPr="00447A90">
        <w:rPr>
          <w:shd w:val="clear" w:color="auto" w:fill="FFFFFF"/>
        </w:rPr>
        <w:t xml:space="preserve"> зміни до сформованого проекту плану здійснення комплексних заходів державного нагляду (контролю) щодо узгоджених між собою інших дат початку та строків здійснення комплексних планових заходів державного нагляду (контролю).</w:t>
      </w:r>
    </w:p>
    <w:p w:rsidR="002C4503" w:rsidRPr="00447A90" w:rsidRDefault="002C4503" w:rsidP="00132E71">
      <w:pPr>
        <w:ind w:firstLine="567"/>
        <w:jc w:val="both"/>
        <w:rPr>
          <w:shd w:val="clear" w:color="auto" w:fill="FFFFFF"/>
        </w:rPr>
      </w:pPr>
      <w:r w:rsidRPr="00447A90">
        <w:rPr>
          <w:shd w:val="clear" w:color="auto" w:fill="FFFFFF"/>
        </w:rPr>
        <w:t xml:space="preserve">Внесення змін до сформованого проекту плану здійснення комплексних заходів державного нагляду (контролю) щодо інших дат </w:t>
      </w:r>
      <w:bookmarkStart w:id="10" w:name="_Hlk53266836"/>
      <w:r w:rsidRPr="00447A90">
        <w:rPr>
          <w:shd w:val="clear" w:color="auto" w:fill="FFFFFF"/>
        </w:rPr>
        <w:t xml:space="preserve">початку та строків здійснення комплексних планових заходів державного нагляду (контролю) </w:t>
      </w:r>
      <w:bookmarkEnd w:id="10"/>
      <w:r w:rsidRPr="00447A90">
        <w:rPr>
          <w:shd w:val="clear" w:color="auto" w:fill="FFFFFF"/>
        </w:rPr>
        <w:t>здійснюється Державною регуляторною службою України за узгодженими між органами державного нагляду (контролю) письмовими пропозиціями.</w:t>
      </w:r>
    </w:p>
    <w:p w:rsidR="002C4503" w:rsidRPr="00447A90" w:rsidRDefault="002C4503" w:rsidP="00132E71">
      <w:pPr>
        <w:ind w:firstLine="567"/>
        <w:jc w:val="both"/>
        <w:rPr>
          <w:shd w:val="clear" w:color="auto" w:fill="FFFFFF"/>
        </w:rPr>
      </w:pPr>
    </w:p>
    <w:tbl>
      <w:tblPr>
        <w:tblW w:w="9889" w:type="dxa"/>
        <w:tblLook w:val="00A0" w:firstRow="1" w:lastRow="0" w:firstColumn="1" w:lastColumn="0" w:noHBand="0" w:noVBand="0"/>
      </w:tblPr>
      <w:tblGrid>
        <w:gridCol w:w="1311"/>
        <w:gridCol w:w="8578"/>
      </w:tblGrid>
      <w:tr w:rsidR="002C4503" w:rsidRPr="003F71F1" w:rsidTr="00080F91">
        <w:tc>
          <w:tcPr>
            <w:tcW w:w="1242" w:type="dxa"/>
            <w:shd w:val="clear" w:color="auto" w:fill="FFFF00"/>
          </w:tcPr>
          <w:p w:rsidR="002C4503" w:rsidRPr="003F71F1" w:rsidRDefault="0068422A" w:rsidP="00080F91">
            <w:pPr>
              <w:jc w:val="both"/>
              <w:rPr>
                <w:szCs w:val="20"/>
                <w:highlight w:val="yellow"/>
                <w:shd w:val="clear" w:color="auto" w:fill="FFFFFF"/>
              </w:rPr>
            </w:pPr>
            <w:r>
              <w:rPr>
                <w:noProof/>
                <w:szCs w:val="20"/>
                <w:lang w:eastAsia="uk-UA"/>
              </w:rPr>
              <w:drawing>
                <wp:inline distT="0" distB="0" distL="0" distR="0">
                  <wp:extent cx="695325" cy="86677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c>
          <w:tcPr>
            <w:tcW w:w="8647" w:type="dxa"/>
            <w:shd w:val="clear" w:color="auto" w:fill="FFFF00"/>
            <w:vAlign w:val="center"/>
          </w:tcPr>
          <w:p w:rsidR="002C4503" w:rsidRPr="003F71F1" w:rsidRDefault="002C4503" w:rsidP="00080F91">
            <w:pPr>
              <w:jc w:val="both"/>
              <w:rPr>
                <w:b/>
                <w:bCs/>
                <w:szCs w:val="20"/>
                <w:shd w:val="clear" w:color="auto" w:fill="FFFFFF"/>
              </w:rPr>
            </w:pPr>
            <w:r w:rsidRPr="003F71F1">
              <w:rPr>
                <w:b/>
                <w:bCs/>
                <w:szCs w:val="20"/>
                <w:highlight w:val="yellow"/>
                <w:shd w:val="clear" w:color="auto" w:fill="FFFFFF"/>
              </w:rPr>
              <w:t>Які заходи можуть бути вжиті суб’єктом господарювання для перенесення дати початку та строків здійснення комплексних планових заходів державного нагляду (контролю)</w:t>
            </w:r>
          </w:p>
        </w:tc>
      </w:tr>
    </w:tbl>
    <w:p w:rsidR="002C4503" w:rsidRPr="00447A90" w:rsidRDefault="002C4503" w:rsidP="00132E71">
      <w:pPr>
        <w:ind w:firstLine="567"/>
        <w:jc w:val="both"/>
        <w:rPr>
          <w:shd w:val="clear" w:color="auto" w:fill="FFFFFF"/>
        </w:rPr>
      </w:pPr>
    </w:p>
    <w:p w:rsidR="002C4503" w:rsidRPr="00447A90" w:rsidRDefault="002C4503" w:rsidP="00B22CBF">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Закон не передбачає можливості встановлення Державною регуляторною службою України інших дат початку та строків здійснення комплексних планових заходів державного нагляду (контролю) за безпосереднім зверненням до неї суб’єктів господарювання.</w:t>
      </w:r>
    </w:p>
    <w:p w:rsidR="002C4503" w:rsidRPr="00447A90" w:rsidRDefault="002C4503" w:rsidP="00B22CBF">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За наявності обставин, за яких суб’єкт господарювання вважає за доцільне перенести дату початку здійснення комплексних планових заходів державного нагляду (контролю), він може звернутися з обґрунтованою пропозицією до одного або усіх одночасно  органів державного нагляду (контролю), які здійснюватимуть комплексні заходи державного нагляду (контролю).</w:t>
      </w:r>
    </w:p>
    <w:p w:rsidR="002C4503" w:rsidRPr="00447A90" w:rsidRDefault="002C4503" w:rsidP="00B22CBF">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Якщо органи державного нагляду (контролю) вважатимуть слушною подану суб’єктом господарювання пропозицію, вони ініціюють необхідні процедури щодо погодження між собою іншої дати початку та строків здійснення комплексних планових заходів державного нагляду (контролю).</w:t>
      </w:r>
    </w:p>
    <w:p w:rsidR="002C4503" w:rsidRPr="00447A90" w:rsidRDefault="002C4503" w:rsidP="00B22CBF">
      <w:pPr>
        <w:pStyle w:val="HTML"/>
        <w:shd w:val="clear" w:color="auto" w:fill="FFFFFF"/>
        <w:ind w:firstLine="567"/>
        <w:jc w:val="both"/>
        <w:rPr>
          <w:rFonts w:ascii="Times New Roman" w:hAnsi="Times New Roman"/>
          <w:sz w:val="28"/>
          <w:szCs w:val="28"/>
          <w:lang w:val="uk-UA"/>
        </w:rPr>
      </w:pPr>
    </w:p>
    <w:tbl>
      <w:tblPr>
        <w:tblW w:w="9747" w:type="dxa"/>
        <w:tblLook w:val="00A0" w:firstRow="1" w:lastRow="0" w:firstColumn="1" w:lastColumn="0" w:noHBand="0" w:noVBand="0"/>
      </w:tblPr>
      <w:tblGrid>
        <w:gridCol w:w="996"/>
        <w:gridCol w:w="8751"/>
      </w:tblGrid>
      <w:tr w:rsidR="002C4503" w:rsidRPr="003F71F1" w:rsidTr="00593ADB">
        <w:tc>
          <w:tcPr>
            <w:tcW w:w="996" w:type="dxa"/>
          </w:tcPr>
          <w:p w:rsidR="002C4503" w:rsidRPr="003F71F1" w:rsidRDefault="0068422A" w:rsidP="00593ADB">
            <w:pPr>
              <w:jc w:val="both"/>
              <w:rPr>
                <w:b/>
                <w:bCs/>
                <w:noProof/>
                <w:szCs w:val="20"/>
              </w:rPr>
            </w:pPr>
            <w:r>
              <w:rPr>
                <w:b/>
                <w:noProof/>
                <w:szCs w:val="20"/>
                <w:lang w:eastAsia="uk-UA"/>
              </w:rPr>
              <w:drawing>
                <wp:inline distT="0" distB="0" distL="0" distR="0">
                  <wp:extent cx="476250" cy="42862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8751" w:type="dxa"/>
            <w:vAlign w:val="center"/>
          </w:tcPr>
          <w:p w:rsidR="002C4503" w:rsidRPr="003F71F1" w:rsidRDefault="002C4503" w:rsidP="00A3294C">
            <w:pPr>
              <w:ind w:firstLine="1"/>
              <w:jc w:val="both"/>
              <w:rPr>
                <w:b/>
                <w:bCs/>
              </w:rPr>
            </w:pPr>
            <w:r w:rsidRPr="003F71F1">
              <w:rPr>
                <w:b/>
                <w:bCs/>
              </w:rPr>
              <w:t>Звернення суб’єктів господарювання безпосередньо до Державної регуляторної служби України щодо встановлення інших дат початку та строків здійснення комплексних планових заходів державного нагляду (контролю) задовольнятися не будуть.</w:t>
            </w:r>
          </w:p>
        </w:tc>
      </w:tr>
      <w:tr w:rsidR="002C4503" w:rsidRPr="003F71F1" w:rsidTr="00593ADB">
        <w:tc>
          <w:tcPr>
            <w:tcW w:w="996" w:type="dxa"/>
          </w:tcPr>
          <w:p w:rsidR="002C4503" w:rsidRPr="003F71F1" w:rsidRDefault="002C4503" w:rsidP="00593ADB">
            <w:pPr>
              <w:jc w:val="both"/>
              <w:rPr>
                <w:b/>
                <w:bCs/>
                <w:noProof/>
                <w:szCs w:val="20"/>
              </w:rPr>
            </w:pPr>
          </w:p>
        </w:tc>
        <w:tc>
          <w:tcPr>
            <w:tcW w:w="8751" w:type="dxa"/>
            <w:vAlign w:val="center"/>
          </w:tcPr>
          <w:p w:rsidR="002C4503" w:rsidRPr="003F71F1" w:rsidRDefault="002C4503" w:rsidP="00A8135E">
            <w:pPr>
              <w:ind w:firstLine="1"/>
              <w:jc w:val="both"/>
              <w:rPr>
                <w:b/>
                <w:bCs/>
                <w:szCs w:val="28"/>
              </w:rPr>
            </w:pPr>
            <w:r w:rsidRPr="003F71F1">
              <w:rPr>
                <w:b/>
                <w:bCs/>
              </w:rPr>
              <w:t xml:space="preserve">Звернення суб’єктів господарювання щодо встановлення інших дат початку та строків здійснення комплексних планових заходів державного нагляду (контролю) мають бути подані до органів </w:t>
            </w:r>
            <w:r w:rsidRPr="003F71F1">
              <w:rPr>
                <w:b/>
                <w:bCs/>
              </w:rPr>
              <w:lastRenderedPageBreak/>
              <w:t>державного нагляду (контролю) у</w:t>
            </w:r>
            <w:r w:rsidRPr="003F71F1">
              <w:rPr>
                <w:b/>
                <w:bCs/>
                <w:shd w:val="clear" w:color="auto" w:fill="FFFFFF"/>
              </w:rPr>
              <w:t xml:space="preserve"> строки, які дозволять їм погодити між собою та подати до </w:t>
            </w:r>
            <w:r w:rsidRPr="003F71F1">
              <w:rPr>
                <w:b/>
                <w:bCs/>
                <w:u w:val="single"/>
                <w:shd w:val="clear" w:color="auto" w:fill="FFFFFF"/>
              </w:rPr>
              <w:t>1 листопада 202</w:t>
            </w:r>
            <w:r w:rsidR="00A8135E">
              <w:rPr>
                <w:b/>
                <w:bCs/>
                <w:u w:val="single"/>
                <w:shd w:val="clear" w:color="auto" w:fill="FFFFFF"/>
              </w:rPr>
              <w:t>1</w:t>
            </w:r>
            <w:r w:rsidRPr="003F71F1">
              <w:rPr>
                <w:b/>
                <w:bCs/>
                <w:u w:val="single"/>
                <w:shd w:val="clear" w:color="auto" w:fill="FFFFFF"/>
              </w:rPr>
              <w:t xml:space="preserve"> року</w:t>
            </w:r>
            <w:r w:rsidRPr="003F71F1">
              <w:rPr>
                <w:b/>
                <w:bCs/>
                <w:shd w:val="clear" w:color="auto" w:fill="FFFFFF"/>
              </w:rPr>
              <w:t xml:space="preserve"> у Державну регуляторну службу України підготовлені матеріали.</w:t>
            </w:r>
          </w:p>
        </w:tc>
      </w:tr>
    </w:tbl>
    <w:p w:rsidR="002C4503" w:rsidRPr="00447A90" w:rsidRDefault="002C4503" w:rsidP="00B22CBF">
      <w:pPr>
        <w:pStyle w:val="HTML"/>
        <w:shd w:val="clear" w:color="auto" w:fill="FFFFFF"/>
        <w:ind w:firstLine="567"/>
        <w:jc w:val="both"/>
        <w:rPr>
          <w:rFonts w:ascii="Times New Roman" w:hAnsi="Times New Roman"/>
          <w:sz w:val="28"/>
          <w:szCs w:val="28"/>
          <w:lang w:val="uk-UA"/>
        </w:rPr>
      </w:pPr>
    </w:p>
    <w:p w:rsidR="002C4503" w:rsidRPr="00447A90" w:rsidRDefault="002C4503" w:rsidP="00B22CBF">
      <w:pPr>
        <w:pStyle w:val="HTML"/>
        <w:shd w:val="clear" w:color="auto" w:fill="FFFFFF"/>
        <w:ind w:firstLine="567"/>
        <w:jc w:val="both"/>
        <w:rPr>
          <w:rFonts w:ascii="Times New Roman" w:hAnsi="Times New Roman"/>
          <w:b/>
          <w:bCs/>
          <w:sz w:val="28"/>
          <w:szCs w:val="28"/>
          <w:lang w:val="uk-UA"/>
        </w:rPr>
      </w:pPr>
      <w:r w:rsidRPr="00447A90">
        <w:rPr>
          <w:rFonts w:ascii="Times New Roman" w:hAnsi="Times New Roman"/>
          <w:b/>
          <w:bCs/>
          <w:sz w:val="28"/>
          <w:szCs w:val="28"/>
          <w:lang w:val="uk-UA"/>
        </w:rPr>
        <w:t>5. Стосовно з’ясування суб’єктами господарювання підстав щодо включення їх органами державного нагляду (контролю) до переліків суб’єктів господарювання, які підлягають плановим заходам державного нагляду (контролю) у 202</w:t>
      </w:r>
      <w:r w:rsidR="00A8135E">
        <w:rPr>
          <w:rFonts w:ascii="Times New Roman" w:hAnsi="Times New Roman"/>
          <w:b/>
          <w:bCs/>
          <w:sz w:val="28"/>
          <w:szCs w:val="28"/>
          <w:lang w:val="uk-UA"/>
        </w:rPr>
        <w:t>2</w:t>
      </w:r>
      <w:r w:rsidRPr="00447A90">
        <w:rPr>
          <w:rFonts w:ascii="Times New Roman" w:hAnsi="Times New Roman"/>
          <w:b/>
          <w:bCs/>
          <w:sz w:val="28"/>
          <w:szCs w:val="28"/>
          <w:lang w:val="uk-UA"/>
        </w:rPr>
        <w:t xml:space="preserve"> році</w:t>
      </w:r>
    </w:p>
    <w:p w:rsidR="002C4503" w:rsidRPr="00447A90" w:rsidRDefault="002C4503" w:rsidP="00BD312E">
      <w:pPr>
        <w:pStyle w:val="HTML"/>
        <w:shd w:val="clear" w:color="auto" w:fill="FFFFFF"/>
        <w:ind w:firstLine="567"/>
        <w:jc w:val="both"/>
        <w:rPr>
          <w:rFonts w:ascii="Times New Roman" w:hAnsi="Times New Roman"/>
          <w:sz w:val="28"/>
          <w:szCs w:val="28"/>
          <w:lang w:val="uk-UA"/>
        </w:rPr>
      </w:pPr>
    </w:p>
    <w:p w:rsidR="002C4503" w:rsidRPr="00447A90" w:rsidRDefault="002C4503" w:rsidP="00BD312E">
      <w:pPr>
        <w:pStyle w:val="HTML"/>
        <w:shd w:val="clear" w:color="auto" w:fill="FFFFFF"/>
        <w:ind w:firstLine="567"/>
        <w:jc w:val="both"/>
        <w:rPr>
          <w:rFonts w:ascii="Times New Roman" w:hAnsi="Times New Roman" w:cs="Times New Roman"/>
          <w:sz w:val="28"/>
          <w:szCs w:val="28"/>
          <w:lang w:val="uk-UA"/>
        </w:rPr>
      </w:pPr>
      <w:r w:rsidRPr="00447A90">
        <w:rPr>
          <w:rFonts w:ascii="Times New Roman" w:hAnsi="Times New Roman" w:cs="Times New Roman"/>
          <w:sz w:val="28"/>
          <w:szCs w:val="28"/>
          <w:lang w:val="uk-UA"/>
        </w:rPr>
        <w:t xml:space="preserve">Відповідно до положень України «Про основні засади державного нагляду (контролю) у сфері господарської діяльності» </w:t>
      </w:r>
      <w:r w:rsidRPr="006E6FA1">
        <w:rPr>
          <w:rFonts w:ascii="Times New Roman" w:hAnsi="Times New Roman" w:cs="Times New Roman"/>
          <w:b/>
          <w:sz w:val="28"/>
          <w:szCs w:val="28"/>
          <w:lang w:val="uk-UA"/>
        </w:rPr>
        <w:t>встановлення потреби у проведенні заходів державного нагляду (контролю) щодо конкретного суб’єкта господарювання є виключним повноваженням органів державного нагляду (контролю)</w:t>
      </w:r>
      <w:r w:rsidRPr="00447A90">
        <w:rPr>
          <w:rFonts w:ascii="Times New Roman" w:hAnsi="Times New Roman" w:cs="Times New Roman"/>
          <w:sz w:val="28"/>
          <w:szCs w:val="28"/>
          <w:lang w:val="uk-UA"/>
        </w:rPr>
        <w:t>.</w:t>
      </w:r>
    </w:p>
    <w:p w:rsidR="002C4503" w:rsidRPr="00447A90" w:rsidRDefault="002C4503" w:rsidP="00BD312E">
      <w:pPr>
        <w:pStyle w:val="HTML"/>
        <w:shd w:val="clear" w:color="auto" w:fill="FFFFFF"/>
        <w:ind w:firstLine="567"/>
        <w:jc w:val="both"/>
        <w:rPr>
          <w:rFonts w:ascii="Times New Roman" w:hAnsi="Times New Roman" w:cs="Times New Roman"/>
          <w:sz w:val="28"/>
          <w:szCs w:val="28"/>
          <w:lang w:val="uk-UA"/>
        </w:rPr>
      </w:pPr>
      <w:r w:rsidRPr="00447A90">
        <w:rPr>
          <w:rFonts w:ascii="Times New Roman" w:hAnsi="Times New Roman" w:cs="Times New Roman"/>
          <w:sz w:val="28"/>
          <w:szCs w:val="28"/>
          <w:lang w:val="uk-UA"/>
        </w:rPr>
        <w:t>Ця потреба визначається на основі критеріїв, за якими оцінюється ступінь ризику від провадження господарської діяльності, з урахуванням періодичності проведення планових заходів державного нагляду (контролю), встановленої положеннями частини другої статті 5 цього Закону України «Про основні засади державного нагляду (контролю) у сфері господарської діяльності».</w:t>
      </w:r>
    </w:p>
    <w:p w:rsidR="002C4503" w:rsidRPr="00447A90" w:rsidRDefault="002C4503" w:rsidP="00BD312E">
      <w:pPr>
        <w:pStyle w:val="HTML"/>
        <w:shd w:val="clear" w:color="auto" w:fill="FFFFFF"/>
        <w:ind w:firstLine="567"/>
        <w:jc w:val="both"/>
        <w:rPr>
          <w:rFonts w:ascii="Times New Roman" w:hAnsi="Times New Roman"/>
          <w:sz w:val="28"/>
          <w:szCs w:val="28"/>
          <w:lang w:val="uk-UA"/>
        </w:rPr>
      </w:pPr>
      <w:r w:rsidRPr="00447A90">
        <w:rPr>
          <w:rFonts w:ascii="Times New Roman" w:hAnsi="Times New Roman" w:cs="Times New Roman"/>
          <w:sz w:val="28"/>
          <w:szCs w:val="28"/>
          <w:lang w:val="uk-UA"/>
        </w:rPr>
        <w:t xml:space="preserve">Суб’єкти господарювання, маючи сумнів щодо правильного визначення органом державного нагляду (контролю) періодичності </w:t>
      </w:r>
      <w:r w:rsidRPr="00447A90">
        <w:rPr>
          <w:rFonts w:ascii="Times New Roman" w:hAnsi="Times New Roman"/>
          <w:sz w:val="28"/>
          <w:szCs w:val="28"/>
          <w:lang w:val="uk-UA"/>
        </w:rPr>
        <w:t xml:space="preserve">проведення планових заходів державного нагляду (контролю), або з причини незгоди із ступенем ризику, до якого органом державного нагляду (контролю) </w:t>
      </w:r>
      <w:r>
        <w:rPr>
          <w:rFonts w:ascii="Times New Roman" w:hAnsi="Times New Roman"/>
          <w:sz w:val="28"/>
          <w:szCs w:val="28"/>
          <w:lang w:val="uk-UA"/>
        </w:rPr>
        <w:t xml:space="preserve">їх </w:t>
      </w:r>
      <w:r w:rsidRPr="00447A90">
        <w:rPr>
          <w:rFonts w:ascii="Times New Roman" w:hAnsi="Times New Roman"/>
          <w:sz w:val="28"/>
          <w:szCs w:val="28"/>
          <w:lang w:val="uk-UA"/>
        </w:rPr>
        <w:t>було віднесено</w:t>
      </w:r>
      <w:r>
        <w:rPr>
          <w:rFonts w:ascii="Times New Roman" w:hAnsi="Times New Roman"/>
          <w:sz w:val="28"/>
          <w:szCs w:val="28"/>
          <w:lang w:val="uk-UA"/>
        </w:rPr>
        <w:t>,</w:t>
      </w:r>
      <w:r w:rsidRPr="00447A90">
        <w:rPr>
          <w:rFonts w:ascii="Times New Roman" w:hAnsi="Times New Roman"/>
          <w:sz w:val="28"/>
          <w:szCs w:val="28"/>
          <w:lang w:val="uk-UA"/>
        </w:rPr>
        <w:t xml:space="preserve"> звертаються до Державної регуляторної служби України з вимогою роз’яснити ці рішення та вжити заходів щодо їх коригування.</w:t>
      </w:r>
    </w:p>
    <w:p w:rsidR="002C4503" w:rsidRPr="00447A90" w:rsidRDefault="002C4503" w:rsidP="00BD312E">
      <w:pPr>
        <w:pStyle w:val="HTML"/>
        <w:shd w:val="clear" w:color="auto" w:fill="FFFFFF"/>
        <w:ind w:firstLine="567"/>
        <w:jc w:val="both"/>
        <w:rPr>
          <w:rFonts w:ascii="Times New Roman" w:hAnsi="Times New Roman" w:cs="Times New Roman"/>
          <w:sz w:val="28"/>
          <w:szCs w:val="28"/>
          <w:lang w:val="uk-UA"/>
        </w:rPr>
      </w:pPr>
      <w:r w:rsidRPr="00447A90">
        <w:rPr>
          <w:rFonts w:ascii="Times New Roman" w:hAnsi="Times New Roman"/>
          <w:sz w:val="28"/>
          <w:szCs w:val="28"/>
          <w:lang w:val="uk-UA"/>
        </w:rPr>
        <w:t xml:space="preserve">Проте, Державна регуляторна служба України, не маючи правових підстав відміняти, переглядати або впливати на рішення органів державного нагляду (контролю) про включення суб’єктів господарювання до переліку суб’єктів господарювання, які підлягають плановим заходам державного нагляду (контролю) у плановому періоді, надає тільки посилання на положення </w:t>
      </w:r>
      <w:r w:rsidRPr="00447A90">
        <w:rPr>
          <w:rFonts w:ascii="Times New Roman" w:hAnsi="Times New Roman" w:cs="Times New Roman"/>
          <w:sz w:val="28"/>
          <w:szCs w:val="28"/>
          <w:lang w:val="uk-UA"/>
        </w:rPr>
        <w:t>Закону України «Про основні засади державного нагляду (контролю) у сфері господарської діяльності», якими органи держаного нагляду (контролю) мають керуватися при прийнятті подібних рішень.</w:t>
      </w:r>
    </w:p>
    <w:p w:rsidR="002C4503" w:rsidRPr="00447A90" w:rsidRDefault="002C4503" w:rsidP="00BD312E">
      <w:pPr>
        <w:pStyle w:val="HTML"/>
        <w:shd w:val="clear" w:color="auto" w:fill="FFFFFF"/>
        <w:ind w:firstLine="567"/>
        <w:jc w:val="both"/>
        <w:rPr>
          <w:rFonts w:ascii="Times New Roman" w:hAnsi="Times New Roman" w:cs="Times New Roman"/>
          <w:sz w:val="28"/>
          <w:szCs w:val="28"/>
          <w:lang w:val="uk-UA"/>
        </w:rPr>
      </w:pPr>
      <w:r w:rsidRPr="00447A90">
        <w:rPr>
          <w:rFonts w:ascii="Times New Roman" w:hAnsi="Times New Roman"/>
          <w:sz w:val="28"/>
          <w:szCs w:val="28"/>
          <w:lang w:val="uk-UA"/>
        </w:rPr>
        <w:t>Обґрунтовані ж роз’яснення щодо наявності підстав у</w:t>
      </w:r>
      <w:r w:rsidRPr="00447A90">
        <w:rPr>
          <w:rFonts w:ascii="Times New Roman" w:hAnsi="Times New Roman" w:cs="Times New Roman"/>
          <w:sz w:val="28"/>
          <w:szCs w:val="28"/>
          <w:lang w:val="uk-UA"/>
        </w:rPr>
        <w:t xml:space="preserve"> потребі проведення заходів державного нагляду (контролю) суб’єкти господарювання можуть отримати виключно від органу державного нагляду (контролю), який визначав таку потребу.</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 xml:space="preserve">Положеннями статті 10 Закону </w:t>
      </w:r>
      <w:r w:rsidRPr="00447A90">
        <w:rPr>
          <w:rFonts w:ascii="Times New Roman" w:hAnsi="Times New Roman" w:cs="Times New Roman"/>
          <w:sz w:val="28"/>
          <w:szCs w:val="28"/>
          <w:lang w:val="uk-UA"/>
        </w:rPr>
        <w:t>України «Про основні засади державного нагляду (контролю) у сфері господарської діяльності»</w:t>
      </w:r>
      <w:r w:rsidRPr="00447A90">
        <w:rPr>
          <w:rFonts w:ascii="Times New Roman" w:hAnsi="Times New Roman"/>
          <w:sz w:val="28"/>
          <w:szCs w:val="28"/>
          <w:lang w:val="uk-UA"/>
        </w:rPr>
        <w:t>, серед іншого встановлено, що суб’єкт господарювання під час здійснення державного нагляду (контролю) має право отримувати консультативну допомогу від органу державного нагляду (контролю) з метою запобігання порушенням під час здійснення заходів державного нагляду (контролю).</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 xml:space="preserve">Статтею 19 Закону </w:t>
      </w:r>
      <w:r w:rsidRPr="00447A90">
        <w:rPr>
          <w:rFonts w:ascii="Times New Roman" w:hAnsi="Times New Roman" w:cs="Times New Roman"/>
          <w:sz w:val="28"/>
          <w:szCs w:val="28"/>
          <w:lang w:val="uk-UA"/>
        </w:rPr>
        <w:t>України «Про основні засади державного нагляду (контролю) у сфері господарської діяльності»</w:t>
      </w:r>
      <w:r w:rsidRPr="00447A90">
        <w:rPr>
          <w:rFonts w:ascii="Times New Roman" w:hAnsi="Times New Roman"/>
          <w:sz w:val="28"/>
          <w:szCs w:val="28"/>
          <w:lang w:val="uk-UA"/>
        </w:rPr>
        <w:t xml:space="preserve"> визначено, що органи державного </w:t>
      </w:r>
      <w:r w:rsidRPr="00447A90">
        <w:rPr>
          <w:rFonts w:ascii="Times New Roman" w:hAnsi="Times New Roman"/>
          <w:sz w:val="28"/>
          <w:szCs w:val="28"/>
          <w:lang w:val="uk-UA"/>
        </w:rPr>
        <w:lastRenderedPageBreak/>
        <w:t>нагляду (контролю) безоплатно надають суб’єктам господарювання письмові консультації щодо вимог до провадження відповідної господарської діяльності та/або щодо здійснення державного нагляду (контролю).</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Консультації органів державного нагляду (контролю) можуть бути загальними (стосуватися невизначеного кола суб’єктів господарювання) або індивідуальними (стосуватися конкретного суб’єкта господарювання). Індивідуальні консультації надаються (надсилаються) суб’єктам господарювання протягом п’ятнадцяти календарних днів після отримання запиту.</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Суб’єкт господарювання може посилатися на загальні та адресовані йому індивідуальні консультації органів державного нагляду (контролю) під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rsidR="002C4503" w:rsidRPr="00447A90" w:rsidRDefault="002C4503" w:rsidP="00517A10">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Суб’єкт господарювання не може бути притягнутий до відповідальності, якщо він діяв відповідно до консультації органу державного нагляду (контролю), зокрема на підставі того, що індивідуальна або загальна консультація, у тому числі податкова, була змінена або скасована.</w:t>
      </w:r>
    </w:p>
    <w:p w:rsidR="002C4503" w:rsidRPr="00447A90" w:rsidRDefault="002C4503" w:rsidP="00517A10">
      <w:pPr>
        <w:ind w:firstLine="567"/>
        <w:jc w:val="both"/>
        <w:rPr>
          <w:szCs w:val="28"/>
        </w:rPr>
      </w:pPr>
      <w:r w:rsidRPr="00447A90">
        <w:rPr>
          <w:szCs w:val="28"/>
        </w:rPr>
        <w:t>Враховуючи викладене, консультації</w:t>
      </w:r>
      <w:r>
        <w:rPr>
          <w:szCs w:val="28"/>
        </w:rPr>
        <w:t>,</w:t>
      </w:r>
      <w:r w:rsidRPr="00447A90">
        <w:rPr>
          <w:szCs w:val="28"/>
        </w:rPr>
        <w:t xml:space="preserve"> </w:t>
      </w:r>
      <w:r>
        <w:rPr>
          <w:szCs w:val="28"/>
        </w:rPr>
        <w:t xml:space="preserve">отримані </w:t>
      </w:r>
      <w:r w:rsidRPr="00447A90">
        <w:rPr>
          <w:szCs w:val="28"/>
        </w:rPr>
        <w:t>від органів державного нагляду (контролю)</w:t>
      </w:r>
      <w:r>
        <w:rPr>
          <w:szCs w:val="28"/>
        </w:rPr>
        <w:t>, мають велике юридичне значення у відносинах між цими органами та суб’єктами господарювання.</w:t>
      </w:r>
    </w:p>
    <w:p w:rsidR="002C4503" w:rsidRPr="00447A90" w:rsidRDefault="002C4503" w:rsidP="00BD312E">
      <w:pPr>
        <w:pStyle w:val="HTML"/>
        <w:shd w:val="clear" w:color="auto" w:fill="FFFFFF"/>
        <w:ind w:firstLine="567"/>
        <w:jc w:val="both"/>
        <w:rPr>
          <w:rFonts w:ascii="Times New Roman" w:hAnsi="Times New Roman" w:cs="Times New Roman"/>
          <w:sz w:val="28"/>
          <w:szCs w:val="28"/>
          <w:lang w:val="uk-UA"/>
        </w:rPr>
      </w:pPr>
    </w:p>
    <w:tbl>
      <w:tblPr>
        <w:tblW w:w="9747" w:type="dxa"/>
        <w:tblLook w:val="00A0" w:firstRow="1" w:lastRow="0" w:firstColumn="1" w:lastColumn="0" w:noHBand="0" w:noVBand="0"/>
      </w:tblPr>
      <w:tblGrid>
        <w:gridCol w:w="996"/>
        <w:gridCol w:w="8751"/>
      </w:tblGrid>
      <w:tr w:rsidR="002C4503" w:rsidRPr="003F71F1" w:rsidTr="00593ADB">
        <w:tc>
          <w:tcPr>
            <w:tcW w:w="996" w:type="dxa"/>
          </w:tcPr>
          <w:p w:rsidR="002C4503" w:rsidRPr="003F71F1" w:rsidRDefault="0068422A" w:rsidP="00593ADB">
            <w:pPr>
              <w:jc w:val="both"/>
              <w:rPr>
                <w:b/>
                <w:bCs/>
                <w:noProof/>
                <w:szCs w:val="20"/>
              </w:rPr>
            </w:pPr>
            <w:r>
              <w:rPr>
                <w:b/>
                <w:noProof/>
                <w:szCs w:val="20"/>
                <w:lang w:eastAsia="uk-UA"/>
              </w:rPr>
              <w:drawing>
                <wp:inline distT="0" distB="0" distL="0" distR="0">
                  <wp:extent cx="476250" cy="42862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8751" w:type="dxa"/>
            <w:vAlign w:val="center"/>
          </w:tcPr>
          <w:p w:rsidR="002C4503" w:rsidRPr="003F71F1" w:rsidRDefault="002C4503" w:rsidP="00593ADB">
            <w:pPr>
              <w:ind w:firstLine="1"/>
              <w:jc w:val="both"/>
              <w:rPr>
                <w:b/>
                <w:bCs/>
              </w:rPr>
            </w:pPr>
            <w:bookmarkStart w:id="11" w:name="_Hlk53271932"/>
            <w:r w:rsidRPr="003F71F1">
              <w:rPr>
                <w:b/>
                <w:bCs/>
                <w:szCs w:val="28"/>
              </w:rPr>
              <w:t xml:space="preserve">Державна регуляторна служба України </w:t>
            </w:r>
            <w:bookmarkEnd w:id="11"/>
            <w:r w:rsidRPr="003F71F1">
              <w:rPr>
                <w:b/>
                <w:bCs/>
                <w:szCs w:val="28"/>
              </w:rPr>
              <w:t>не має правових підстав відміняти, переглядати або впливати на рішення органів державного нагляду (контролю) про включення суб’єктів господарювання до переліку суб’єктів господарювання, які підлягають плановим заходам державного нагляду (контролю) у плановому періоді.</w:t>
            </w:r>
          </w:p>
        </w:tc>
      </w:tr>
      <w:tr w:rsidR="002C4503" w:rsidRPr="003F71F1" w:rsidTr="00593ADB">
        <w:tc>
          <w:tcPr>
            <w:tcW w:w="996" w:type="dxa"/>
          </w:tcPr>
          <w:p w:rsidR="002C4503" w:rsidRPr="003F71F1" w:rsidRDefault="002C4503" w:rsidP="00593ADB">
            <w:pPr>
              <w:jc w:val="both"/>
              <w:rPr>
                <w:b/>
                <w:bCs/>
                <w:noProof/>
                <w:szCs w:val="20"/>
              </w:rPr>
            </w:pPr>
          </w:p>
        </w:tc>
        <w:tc>
          <w:tcPr>
            <w:tcW w:w="8751" w:type="dxa"/>
            <w:vAlign w:val="center"/>
          </w:tcPr>
          <w:p w:rsidR="002C4503" w:rsidRPr="003F71F1" w:rsidRDefault="002C4503" w:rsidP="00447A90">
            <w:pPr>
              <w:ind w:firstLine="1"/>
              <w:jc w:val="both"/>
              <w:rPr>
                <w:b/>
                <w:bCs/>
                <w:szCs w:val="28"/>
              </w:rPr>
            </w:pPr>
            <w:r w:rsidRPr="003F71F1">
              <w:rPr>
                <w:b/>
                <w:bCs/>
                <w:szCs w:val="28"/>
              </w:rPr>
              <w:t>Звернення, пов’язані із даними щодо періодичності здійснення заходів державного нагляду (контролю) або даними щодо віднесення органом державного нагляду (контролю) суб’єкта господарювання до того чи іншого ступеня ризику, мають направлятися до органів державного нагляду (контролю) та оформлюватися як запити на отримання консультації.</w:t>
            </w:r>
          </w:p>
        </w:tc>
      </w:tr>
    </w:tbl>
    <w:p w:rsidR="002C4503" w:rsidRPr="00447A90" w:rsidRDefault="002C4503" w:rsidP="00BA301B">
      <w:pPr>
        <w:pStyle w:val="HTML"/>
        <w:shd w:val="clear" w:color="auto" w:fill="FFFFFF"/>
        <w:ind w:firstLine="567"/>
        <w:jc w:val="both"/>
        <w:rPr>
          <w:rFonts w:ascii="Times New Roman" w:hAnsi="Times New Roman"/>
          <w:sz w:val="28"/>
          <w:szCs w:val="28"/>
          <w:lang w:val="uk-UA"/>
        </w:rPr>
      </w:pPr>
    </w:p>
    <w:p w:rsidR="002C4503" w:rsidRPr="00447A90" w:rsidRDefault="002C4503" w:rsidP="00BA301B">
      <w:pPr>
        <w:pStyle w:val="HTML"/>
        <w:shd w:val="clear" w:color="auto" w:fill="FFFFFF"/>
        <w:ind w:firstLine="567"/>
        <w:jc w:val="both"/>
        <w:rPr>
          <w:rFonts w:ascii="Times New Roman" w:hAnsi="Times New Roman"/>
          <w:b/>
          <w:bCs/>
          <w:sz w:val="28"/>
          <w:szCs w:val="28"/>
          <w:lang w:val="uk-UA"/>
        </w:rPr>
      </w:pPr>
      <w:r w:rsidRPr="00447A90">
        <w:rPr>
          <w:rFonts w:ascii="Times New Roman" w:hAnsi="Times New Roman"/>
          <w:b/>
          <w:bCs/>
          <w:sz w:val="28"/>
          <w:szCs w:val="28"/>
          <w:lang w:val="uk-UA"/>
        </w:rPr>
        <w:t>6. Щодо визначення періодичності здійснення заходів державного нагляду (контролю)</w:t>
      </w:r>
    </w:p>
    <w:p w:rsidR="002C4503" w:rsidRPr="00447A90" w:rsidRDefault="002C4503" w:rsidP="00BA301B">
      <w:pPr>
        <w:pStyle w:val="HTML"/>
        <w:shd w:val="clear" w:color="auto" w:fill="FFFFFF"/>
        <w:ind w:firstLine="567"/>
        <w:jc w:val="both"/>
        <w:rPr>
          <w:rFonts w:ascii="Times New Roman" w:hAnsi="Times New Roman"/>
          <w:b/>
          <w:bCs/>
          <w:sz w:val="28"/>
          <w:szCs w:val="28"/>
          <w:lang w:val="uk-UA"/>
        </w:rPr>
      </w:pPr>
    </w:p>
    <w:p w:rsidR="002C4503" w:rsidRPr="00447A90" w:rsidRDefault="002C4503" w:rsidP="00BA301B">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Під час вирішення питань, пов’язаних із визначенням періодичності здійснення планових заходів державного нагляду (контролю), Державна регуляторна служба України пропонує враховувати наступне.</w:t>
      </w:r>
    </w:p>
    <w:p w:rsidR="002C4503" w:rsidRPr="00447A90" w:rsidRDefault="002C4503" w:rsidP="00BA301B">
      <w:pPr>
        <w:ind w:firstLine="567"/>
        <w:jc w:val="both"/>
        <w:rPr>
          <w:szCs w:val="28"/>
        </w:rPr>
      </w:pPr>
      <w:r w:rsidRPr="00447A90">
        <w:rPr>
          <w:color w:val="000000"/>
          <w:szCs w:val="28"/>
          <w:shd w:val="clear" w:color="auto" w:fill="FFFFFF"/>
        </w:rPr>
        <w:t xml:space="preserve">Статтею 5 </w:t>
      </w:r>
      <w:r w:rsidRPr="00447A90">
        <w:rPr>
          <w:szCs w:val="28"/>
        </w:rPr>
        <w:t xml:space="preserve">Закону України «Про основні засади державного нагляду (контролю) у сфері господарської діяльності» </w:t>
      </w:r>
      <w:r w:rsidRPr="00447A90">
        <w:rPr>
          <w:color w:val="000000"/>
          <w:szCs w:val="28"/>
          <w:shd w:val="clear" w:color="auto" w:fill="FFFFFF"/>
        </w:rPr>
        <w:t xml:space="preserve">встановлено, що </w:t>
      </w:r>
      <w:r w:rsidRPr="00447A90">
        <w:rPr>
          <w:b/>
          <w:color w:val="000000"/>
          <w:szCs w:val="28"/>
          <w:shd w:val="clear" w:color="auto" w:fill="FFFFFF"/>
        </w:rPr>
        <w:t>п</w:t>
      </w:r>
      <w:r w:rsidRPr="00447A90">
        <w:rPr>
          <w:b/>
          <w:szCs w:val="28"/>
        </w:rPr>
        <w:t xml:space="preserve">лановим періодом </w:t>
      </w:r>
      <w:r w:rsidRPr="00447A90">
        <w:rPr>
          <w:b/>
          <w:szCs w:val="28"/>
          <w:u w:val="single"/>
        </w:rPr>
        <w:t>вважається рік</w:t>
      </w:r>
      <w:r w:rsidRPr="00447A90">
        <w:rPr>
          <w:szCs w:val="28"/>
        </w:rPr>
        <w:t xml:space="preserve">, який обчислюється з 1 січня по 31 грудня </w:t>
      </w:r>
      <w:r w:rsidRPr="00447A90">
        <w:rPr>
          <w:b/>
          <w:szCs w:val="28"/>
        </w:rPr>
        <w:t>планового року</w:t>
      </w:r>
      <w:r w:rsidRPr="00447A90">
        <w:rPr>
          <w:szCs w:val="28"/>
        </w:rPr>
        <w:t>.</w:t>
      </w:r>
    </w:p>
    <w:p w:rsidR="002C4503" w:rsidRPr="00447A90" w:rsidRDefault="002C4503" w:rsidP="00BA301B">
      <w:pPr>
        <w:ind w:firstLine="567"/>
        <w:jc w:val="both"/>
        <w:rPr>
          <w:szCs w:val="28"/>
        </w:rPr>
      </w:pPr>
      <w:r w:rsidRPr="00447A90">
        <w:rPr>
          <w:szCs w:val="28"/>
        </w:rPr>
        <w:lastRenderedPageBreak/>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2C4503" w:rsidRPr="00447A90" w:rsidRDefault="002C4503" w:rsidP="00BA301B">
      <w:pPr>
        <w:ind w:firstLine="567"/>
        <w:jc w:val="both"/>
        <w:rPr>
          <w:szCs w:val="28"/>
        </w:rPr>
      </w:pPr>
      <w:r w:rsidRPr="00447A90">
        <w:rPr>
          <w:szCs w:val="28"/>
        </w:rPr>
        <w:t>до високого ступеня ризику – </w:t>
      </w:r>
      <w:r w:rsidRPr="00447A90">
        <w:rPr>
          <w:b/>
          <w:szCs w:val="28"/>
        </w:rPr>
        <w:t>не частіше одного разу на два роки</w:t>
      </w:r>
      <w:r w:rsidRPr="00447A90">
        <w:rPr>
          <w:szCs w:val="28"/>
        </w:rPr>
        <w:t>;</w:t>
      </w:r>
    </w:p>
    <w:p w:rsidR="002C4503" w:rsidRPr="00447A90" w:rsidRDefault="002C4503" w:rsidP="00BA301B">
      <w:pPr>
        <w:ind w:firstLine="567"/>
        <w:jc w:val="both"/>
        <w:rPr>
          <w:szCs w:val="28"/>
        </w:rPr>
      </w:pPr>
      <w:r w:rsidRPr="00447A90">
        <w:rPr>
          <w:szCs w:val="28"/>
        </w:rPr>
        <w:t>до середнього ступеня ризику – </w:t>
      </w:r>
      <w:r w:rsidRPr="00447A90">
        <w:rPr>
          <w:b/>
          <w:szCs w:val="28"/>
        </w:rPr>
        <w:t>не частіше одного разу на три роки</w:t>
      </w:r>
      <w:r w:rsidRPr="00447A90">
        <w:rPr>
          <w:szCs w:val="28"/>
        </w:rPr>
        <w:t>;</w:t>
      </w:r>
    </w:p>
    <w:p w:rsidR="002C4503" w:rsidRPr="00447A90" w:rsidRDefault="002C4503" w:rsidP="00BA301B">
      <w:pPr>
        <w:ind w:firstLine="567"/>
        <w:jc w:val="both"/>
        <w:rPr>
          <w:szCs w:val="28"/>
        </w:rPr>
      </w:pPr>
      <w:r w:rsidRPr="00447A90">
        <w:rPr>
          <w:szCs w:val="28"/>
        </w:rPr>
        <w:t>до незначного ступеня ризику – </w:t>
      </w:r>
      <w:r w:rsidRPr="00447A90">
        <w:rPr>
          <w:b/>
          <w:szCs w:val="28"/>
        </w:rPr>
        <w:t>не частіше одного разу на п’ять років</w:t>
      </w:r>
      <w:r w:rsidRPr="00447A90">
        <w:rPr>
          <w:szCs w:val="28"/>
        </w:rPr>
        <w:t>.</w:t>
      </w:r>
    </w:p>
    <w:p w:rsidR="002C4503" w:rsidRPr="00447A90" w:rsidRDefault="002C4503" w:rsidP="00BA301B">
      <w:pPr>
        <w:ind w:firstLine="567"/>
        <w:jc w:val="both"/>
        <w:rPr>
          <w:szCs w:val="28"/>
        </w:rPr>
      </w:pPr>
      <w:r w:rsidRPr="00447A90">
        <w:rPr>
          <w:szCs w:val="28"/>
        </w:rPr>
        <w:t xml:space="preserve">Відповідно до наведених положень періодичність здійснення планових заходів державного нагляду (контролю) вираховується </w:t>
      </w:r>
      <w:r w:rsidRPr="00447A90">
        <w:rPr>
          <w:b/>
          <w:szCs w:val="28"/>
        </w:rPr>
        <w:t>періодами</w:t>
      </w:r>
      <w:r w:rsidRPr="00447A90">
        <w:rPr>
          <w:szCs w:val="28"/>
        </w:rPr>
        <w:t xml:space="preserve"> у два, три та п’ять </w:t>
      </w:r>
      <w:r w:rsidRPr="00447A90">
        <w:rPr>
          <w:b/>
          <w:szCs w:val="28"/>
        </w:rPr>
        <w:t>планові роки</w:t>
      </w:r>
      <w:r w:rsidRPr="00447A90">
        <w:rPr>
          <w:szCs w:val="28"/>
        </w:rPr>
        <w:t>. Відлік років, які охоплюються цими періодами, починається з року, у якому востаннє був здійснений плановий захід державного нагляду (контролю).</w:t>
      </w:r>
    </w:p>
    <w:p w:rsidR="002C4503" w:rsidRPr="00447A90" w:rsidRDefault="002C4503" w:rsidP="00BA301B">
      <w:pPr>
        <w:ind w:firstLine="567"/>
        <w:jc w:val="both"/>
        <w:rPr>
          <w:szCs w:val="28"/>
        </w:rPr>
      </w:pPr>
      <w:r w:rsidRPr="00447A90">
        <w:rPr>
          <w:szCs w:val="28"/>
        </w:rPr>
        <w:t>Це означає, що якщо, наприклад, останній плановий захід державного нагляду (контролю) суб’єкта господарювання, віднесеного до високого ступе</w:t>
      </w:r>
      <w:r w:rsidR="00A8135E">
        <w:rPr>
          <w:szCs w:val="28"/>
        </w:rPr>
        <w:t>ня ризику, був проведений у 2021</w:t>
      </w:r>
      <w:r w:rsidRPr="00447A90">
        <w:rPr>
          <w:szCs w:val="28"/>
        </w:rPr>
        <w:t xml:space="preserve"> році, дворічний період у т</w:t>
      </w:r>
      <w:r w:rsidR="00A8135E">
        <w:rPr>
          <w:szCs w:val="28"/>
        </w:rPr>
        <w:t>акому випадку складається з 2021</w:t>
      </w:r>
      <w:r w:rsidRPr="00447A90">
        <w:rPr>
          <w:szCs w:val="28"/>
        </w:rPr>
        <w:t xml:space="preserve"> та 202</w:t>
      </w:r>
      <w:r w:rsidR="00A8135E">
        <w:rPr>
          <w:szCs w:val="28"/>
        </w:rPr>
        <w:t>2</w:t>
      </w:r>
      <w:r w:rsidRPr="00447A90">
        <w:rPr>
          <w:szCs w:val="28"/>
        </w:rPr>
        <w:t xml:space="preserve"> років, тобто </w:t>
      </w:r>
      <w:r w:rsidRPr="00447A90">
        <w:rPr>
          <w:b/>
          <w:szCs w:val="28"/>
        </w:rPr>
        <w:t>двох планових років</w:t>
      </w:r>
      <w:r w:rsidRPr="00447A90">
        <w:rPr>
          <w:szCs w:val="28"/>
        </w:rPr>
        <w:t>. Наступний плановий захід державного нагляду (контролю) цього суб’єкта може бути проведений у 202</w:t>
      </w:r>
      <w:r w:rsidR="00A8135E">
        <w:rPr>
          <w:szCs w:val="28"/>
        </w:rPr>
        <w:t>3</w:t>
      </w:r>
      <w:r w:rsidRPr="00447A90">
        <w:rPr>
          <w:szCs w:val="28"/>
        </w:rPr>
        <w:t xml:space="preserve"> році. 202</w:t>
      </w:r>
      <w:r w:rsidR="00A8135E">
        <w:rPr>
          <w:szCs w:val="28"/>
        </w:rPr>
        <w:t>3</w:t>
      </w:r>
      <w:r w:rsidRPr="00447A90">
        <w:rPr>
          <w:szCs w:val="28"/>
        </w:rPr>
        <w:t xml:space="preserve"> рік у цьому випадку є </w:t>
      </w:r>
      <w:r w:rsidRPr="00447A90">
        <w:rPr>
          <w:b/>
          <w:szCs w:val="28"/>
        </w:rPr>
        <w:t>новим плановим роком</w:t>
      </w:r>
      <w:r w:rsidRPr="00447A90">
        <w:rPr>
          <w:szCs w:val="28"/>
        </w:rPr>
        <w:t xml:space="preserve">, який обчислюється з 1 січня по 31 грудня, і є початком відліку для наступного дворічного періоду, який </w:t>
      </w:r>
      <w:proofErr w:type="spellStart"/>
      <w:r w:rsidRPr="00447A90">
        <w:rPr>
          <w:szCs w:val="28"/>
        </w:rPr>
        <w:t>складатиметься</w:t>
      </w:r>
      <w:proofErr w:type="spellEnd"/>
      <w:r w:rsidRPr="00447A90">
        <w:rPr>
          <w:szCs w:val="28"/>
        </w:rPr>
        <w:t xml:space="preserve"> з 202</w:t>
      </w:r>
      <w:r w:rsidR="00A8135E">
        <w:rPr>
          <w:szCs w:val="28"/>
        </w:rPr>
        <w:t>3</w:t>
      </w:r>
      <w:r w:rsidRPr="00447A90">
        <w:rPr>
          <w:szCs w:val="28"/>
        </w:rPr>
        <w:t xml:space="preserve"> та 202</w:t>
      </w:r>
      <w:r w:rsidR="00A8135E">
        <w:rPr>
          <w:szCs w:val="28"/>
        </w:rPr>
        <w:t>4</w:t>
      </w:r>
      <w:r w:rsidRPr="00447A90">
        <w:rPr>
          <w:szCs w:val="28"/>
        </w:rPr>
        <w:t xml:space="preserve"> </w:t>
      </w:r>
      <w:r w:rsidRPr="00447A90">
        <w:rPr>
          <w:b/>
          <w:szCs w:val="28"/>
        </w:rPr>
        <w:t>планових років</w:t>
      </w:r>
      <w:r w:rsidRPr="00447A90">
        <w:rPr>
          <w:szCs w:val="28"/>
        </w:rPr>
        <w:t>.</w:t>
      </w:r>
    </w:p>
    <w:p w:rsidR="002C4503" w:rsidRPr="00447A90" w:rsidRDefault="002C4503" w:rsidP="00BA301B">
      <w:pPr>
        <w:pStyle w:val="HTML"/>
        <w:shd w:val="clear" w:color="auto" w:fill="FFFFFF"/>
        <w:ind w:firstLine="567"/>
        <w:jc w:val="both"/>
        <w:rPr>
          <w:rFonts w:ascii="Times New Roman" w:hAnsi="Times New Roman"/>
          <w:sz w:val="28"/>
          <w:szCs w:val="28"/>
          <w:lang w:val="uk-UA"/>
        </w:rPr>
      </w:pPr>
      <w:r w:rsidRPr="00447A90">
        <w:rPr>
          <w:rFonts w:ascii="Times New Roman" w:hAnsi="Times New Roman"/>
          <w:sz w:val="28"/>
          <w:szCs w:val="28"/>
          <w:lang w:val="uk-UA"/>
        </w:rPr>
        <w:t xml:space="preserve">Зауважуємо, що за такої конструкції визначення періодичності заходів державного нагляду (контролю), дата наступного планового заходу може припадати на будь-який день календарного року, який слідує за останнім плановим роком, що увійшов до дворічного періоду, </w:t>
      </w:r>
      <w:r w:rsidRPr="00447A90">
        <w:rPr>
          <w:rFonts w:ascii="Times New Roman" w:hAnsi="Times New Roman"/>
          <w:b/>
          <w:sz w:val="28"/>
          <w:szCs w:val="28"/>
          <w:lang w:val="uk-UA"/>
        </w:rPr>
        <w:t xml:space="preserve">оскільки наступний календарний рік в цілях застосування Закону взято за </w:t>
      </w:r>
      <w:r w:rsidRPr="00447A90">
        <w:rPr>
          <w:rFonts w:ascii="Times New Roman" w:hAnsi="Times New Roman"/>
          <w:b/>
          <w:sz w:val="28"/>
          <w:szCs w:val="28"/>
          <w:u w:val="single"/>
          <w:lang w:val="uk-UA"/>
        </w:rPr>
        <w:t>неподільну одиницю виміру</w:t>
      </w:r>
      <w:r w:rsidRPr="00447A90">
        <w:rPr>
          <w:rFonts w:ascii="Times New Roman" w:hAnsi="Times New Roman"/>
          <w:b/>
          <w:sz w:val="28"/>
          <w:szCs w:val="28"/>
          <w:lang w:val="uk-UA"/>
        </w:rPr>
        <w:t xml:space="preserve">, яка дорівнює </w:t>
      </w:r>
      <w:r w:rsidRPr="00447A90">
        <w:rPr>
          <w:rFonts w:ascii="Times New Roman" w:hAnsi="Times New Roman"/>
          <w:b/>
          <w:sz w:val="28"/>
          <w:szCs w:val="28"/>
          <w:u w:val="single"/>
          <w:lang w:val="uk-UA"/>
        </w:rPr>
        <w:t>плановому року</w:t>
      </w:r>
      <w:r w:rsidRPr="00447A90">
        <w:rPr>
          <w:rFonts w:ascii="Times New Roman" w:hAnsi="Times New Roman"/>
          <w:sz w:val="28"/>
          <w:szCs w:val="28"/>
          <w:lang w:val="uk-UA"/>
        </w:rPr>
        <w:t>.</w:t>
      </w:r>
    </w:p>
    <w:sectPr w:rsidR="002C4503" w:rsidRPr="00447A90" w:rsidSect="00E74F7F">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94" w:rsidRDefault="00E23294" w:rsidP="00BA301B">
      <w:r>
        <w:separator/>
      </w:r>
    </w:p>
  </w:endnote>
  <w:endnote w:type="continuationSeparator" w:id="0">
    <w:p w:rsidR="00E23294" w:rsidRDefault="00E23294" w:rsidP="00BA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94" w:rsidRDefault="00E23294" w:rsidP="00BA301B">
      <w:r>
        <w:separator/>
      </w:r>
    </w:p>
  </w:footnote>
  <w:footnote w:type="continuationSeparator" w:id="0">
    <w:p w:rsidR="00E23294" w:rsidRDefault="00E23294" w:rsidP="00BA3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3" w:rsidRDefault="002C4503" w:rsidP="0032480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C4503" w:rsidRDefault="002C450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3" w:rsidRDefault="002C4503" w:rsidP="0032480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36CE8">
      <w:rPr>
        <w:rStyle w:val="af2"/>
        <w:noProof/>
      </w:rPr>
      <w:t>10</w:t>
    </w:r>
    <w:r>
      <w:rPr>
        <w:rStyle w:val="af2"/>
      </w:rPr>
      <w:fldChar w:fldCharType="end"/>
    </w:r>
  </w:p>
  <w:p w:rsidR="002C4503" w:rsidRDefault="002C4503">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95"/>
    <w:rsid w:val="00003573"/>
    <w:rsid w:val="00035032"/>
    <w:rsid w:val="00080F91"/>
    <w:rsid w:val="00090555"/>
    <w:rsid w:val="000D1795"/>
    <w:rsid w:val="000E5DCD"/>
    <w:rsid w:val="00132E71"/>
    <w:rsid w:val="00142D93"/>
    <w:rsid w:val="00176E7D"/>
    <w:rsid w:val="001B6F5F"/>
    <w:rsid w:val="001B6F69"/>
    <w:rsid w:val="001D2F8D"/>
    <w:rsid w:val="002178C7"/>
    <w:rsid w:val="002C2567"/>
    <w:rsid w:val="002C4503"/>
    <w:rsid w:val="00321692"/>
    <w:rsid w:val="00324801"/>
    <w:rsid w:val="003419AB"/>
    <w:rsid w:val="00347E7E"/>
    <w:rsid w:val="00355D39"/>
    <w:rsid w:val="00371508"/>
    <w:rsid w:val="003813F8"/>
    <w:rsid w:val="0038413C"/>
    <w:rsid w:val="003B11E7"/>
    <w:rsid w:val="003F71F1"/>
    <w:rsid w:val="00447A90"/>
    <w:rsid w:val="004578C9"/>
    <w:rsid w:val="004654CB"/>
    <w:rsid w:val="004C0AE9"/>
    <w:rsid w:val="004C38BB"/>
    <w:rsid w:val="004C424B"/>
    <w:rsid w:val="004D4A5D"/>
    <w:rsid w:val="00510934"/>
    <w:rsid w:val="00517A10"/>
    <w:rsid w:val="00593ADB"/>
    <w:rsid w:val="00596859"/>
    <w:rsid w:val="005A5F7A"/>
    <w:rsid w:val="005D70B0"/>
    <w:rsid w:val="00647800"/>
    <w:rsid w:val="0068422A"/>
    <w:rsid w:val="0069180B"/>
    <w:rsid w:val="006A4D21"/>
    <w:rsid w:val="006B7F95"/>
    <w:rsid w:val="006E688A"/>
    <w:rsid w:val="006E6FA1"/>
    <w:rsid w:val="007121DD"/>
    <w:rsid w:val="0071290D"/>
    <w:rsid w:val="007C5F41"/>
    <w:rsid w:val="007F114F"/>
    <w:rsid w:val="007F7A13"/>
    <w:rsid w:val="008023CA"/>
    <w:rsid w:val="008148B8"/>
    <w:rsid w:val="00821A18"/>
    <w:rsid w:val="00846C27"/>
    <w:rsid w:val="0091476B"/>
    <w:rsid w:val="009E5FBF"/>
    <w:rsid w:val="009E6F08"/>
    <w:rsid w:val="00A3294C"/>
    <w:rsid w:val="00A33CD8"/>
    <w:rsid w:val="00A8135E"/>
    <w:rsid w:val="00AC1BB7"/>
    <w:rsid w:val="00AE031B"/>
    <w:rsid w:val="00B22CBF"/>
    <w:rsid w:val="00B33A51"/>
    <w:rsid w:val="00B73B87"/>
    <w:rsid w:val="00B75DFC"/>
    <w:rsid w:val="00B850F1"/>
    <w:rsid w:val="00BA0375"/>
    <w:rsid w:val="00BA301B"/>
    <w:rsid w:val="00BA3A7D"/>
    <w:rsid w:val="00BA50DD"/>
    <w:rsid w:val="00BD312E"/>
    <w:rsid w:val="00BD7BDB"/>
    <w:rsid w:val="00C056F1"/>
    <w:rsid w:val="00C05BF7"/>
    <w:rsid w:val="00C36CE8"/>
    <w:rsid w:val="00C63682"/>
    <w:rsid w:val="00CB2C65"/>
    <w:rsid w:val="00CC5D39"/>
    <w:rsid w:val="00CE0698"/>
    <w:rsid w:val="00D1568C"/>
    <w:rsid w:val="00DB5CCD"/>
    <w:rsid w:val="00DC2F6C"/>
    <w:rsid w:val="00DC6936"/>
    <w:rsid w:val="00DF1749"/>
    <w:rsid w:val="00E23294"/>
    <w:rsid w:val="00E275D1"/>
    <w:rsid w:val="00E74F7F"/>
    <w:rsid w:val="00E776C8"/>
    <w:rsid w:val="00EB6853"/>
    <w:rsid w:val="00ED1145"/>
    <w:rsid w:val="00F433F2"/>
    <w:rsid w:val="00FA1F83"/>
    <w:rsid w:val="00FA7F9D"/>
    <w:rsid w:val="00FB463F"/>
    <w:rsid w:val="00FE2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257E5"/>
  <w15:docId w15:val="{6B3083E6-6840-4F01-8E58-2ACB0EC4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7D"/>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5CCD"/>
    <w:rPr>
      <w:rFonts w:cs="Times New Roman"/>
      <w:color w:val="0563C1"/>
      <w:u w:val="single"/>
    </w:rPr>
  </w:style>
  <w:style w:type="character" w:customStyle="1" w:styleId="UnresolvedMention">
    <w:name w:val="Unresolved Mention"/>
    <w:basedOn w:val="a0"/>
    <w:uiPriority w:val="99"/>
    <w:semiHidden/>
    <w:rsid w:val="00DB5CCD"/>
    <w:rPr>
      <w:rFonts w:cs="Times New Roman"/>
      <w:color w:val="605E5C"/>
      <w:shd w:val="clear" w:color="auto" w:fill="E1DFDD"/>
    </w:rPr>
  </w:style>
  <w:style w:type="table" w:styleId="a4">
    <w:name w:val="Table Grid"/>
    <w:basedOn w:val="a1"/>
    <w:uiPriority w:val="99"/>
    <w:rsid w:val="00E27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10934"/>
    <w:pPr>
      <w:ind w:left="720"/>
      <w:contextualSpacing/>
    </w:pPr>
  </w:style>
  <w:style w:type="paragraph" w:styleId="HTML">
    <w:name w:val="HTML Preformatted"/>
    <w:basedOn w:val="a"/>
    <w:link w:val="HTML0"/>
    <w:uiPriority w:val="99"/>
    <w:rsid w:val="00B2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B22CBF"/>
    <w:rPr>
      <w:rFonts w:ascii="Courier New" w:hAnsi="Courier New" w:cs="Courier New"/>
      <w:sz w:val="20"/>
      <w:szCs w:val="20"/>
      <w:lang w:val="ru-RU" w:eastAsia="ru-RU"/>
    </w:rPr>
  </w:style>
  <w:style w:type="paragraph" w:styleId="a6">
    <w:name w:val="footnote text"/>
    <w:basedOn w:val="a"/>
    <w:link w:val="a7"/>
    <w:uiPriority w:val="99"/>
    <w:semiHidden/>
    <w:rsid w:val="00BA301B"/>
    <w:rPr>
      <w:sz w:val="20"/>
      <w:szCs w:val="20"/>
    </w:rPr>
  </w:style>
  <w:style w:type="character" w:customStyle="1" w:styleId="a7">
    <w:name w:val="Текст сноски Знак"/>
    <w:basedOn w:val="a0"/>
    <w:link w:val="a6"/>
    <w:uiPriority w:val="99"/>
    <w:semiHidden/>
    <w:locked/>
    <w:rsid w:val="00BA301B"/>
    <w:rPr>
      <w:rFonts w:cs="Times New Roman"/>
      <w:sz w:val="20"/>
      <w:szCs w:val="20"/>
    </w:rPr>
  </w:style>
  <w:style w:type="character" w:styleId="a8">
    <w:name w:val="footnote reference"/>
    <w:basedOn w:val="a0"/>
    <w:uiPriority w:val="99"/>
    <w:semiHidden/>
    <w:rsid w:val="00BA301B"/>
    <w:rPr>
      <w:rFonts w:cs="Times New Roman"/>
      <w:vertAlign w:val="superscript"/>
    </w:rPr>
  </w:style>
  <w:style w:type="character" w:styleId="a9">
    <w:name w:val="annotation reference"/>
    <w:basedOn w:val="a0"/>
    <w:uiPriority w:val="99"/>
    <w:semiHidden/>
    <w:rsid w:val="004C38BB"/>
    <w:rPr>
      <w:rFonts w:cs="Times New Roman"/>
      <w:sz w:val="16"/>
      <w:szCs w:val="16"/>
    </w:rPr>
  </w:style>
  <w:style w:type="paragraph" w:styleId="aa">
    <w:name w:val="annotation text"/>
    <w:basedOn w:val="a"/>
    <w:link w:val="ab"/>
    <w:uiPriority w:val="99"/>
    <w:semiHidden/>
    <w:rsid w:val="004C38BB"/>
    <w:rPr>
      <w:sz w:val="20"/>
      <w:szCs w:val="20"/>
    </w:rPr>
  </w:style>
  <w:style w:type="character" w:customStyle="1" w:styleId="ab">
    <w:name w:val="Текст примечания Знак"/>
    <w:basedOn w:val="a0"/>
    <w:link w:val="aa"/>
    <w:uiPriority w:val="99"/>
    <w:semiHidden/>
    <w:rsid w:val="004B5FC7"/>
    <w:rPr>
      <w:sz w:val="20"/>
      <w:szCs w:val="20"/>
      <w:lang w:eastAsia="en-US"/>
    </w:rPr>
  </w:style>
  <w:style w:type="paragraph" w:styleId="ac">
    <w:name w:val="annotation subject"/>
    <w:basedOn w:val="aa"/>
    <w:next w:val="aa"/>
    <w:link w:val="ad"/>
    <w:uiPriority w:val="99"/>
    <w:semiHidden/>
    <w:rsid w:val="004C38BB"/>
    <w:rPr>
      <w:b/>
      <w:bCs/>
    </w:rPr>
  </w:style>
  <w:style w:type="character" w:customStyle="1" w:styleId="ad">
    <w:name w:val="Тема примечания Знак"/>
    <w:basedOn w:val="ab"/>
    <w:link w:val="ac"/>
    <w:uiPriority w:val="99"/>
    <w:semiHidden/>
    <w:rsid w:val="004B5FC7"/>
    <w:rPr>
      <w:b/>
      <w:bCs/>
      <w:sz w:val="20"/>
      <w:szCs w:val="20"/>
      <w:lang w:eastAsia="en-US"/>
    </w:rPr>
  </w:style>
  <w:style w:type="paragraph" w:styleId="ae">
    <w:name w:val="Balloon Text"/>
    <w:basedOn w:val="a"/>
    <w:link w:val="af"/>
    <w:uiPriority w:val="99"/>
    <w:semiHidden/>
    <w:rsid w:val="004C38BB"/>
    <w:rPr>
      <w:rFonts w:ascii="Tahoma" w:hAnsi="Tahoma" w:cs="Tahoma"/>
      <w:sz w:val="16"/>
      <w:szCs w:val="16"/>
    </w:rPr>
  </w:style>
  <w:style w:type="character" w:customStyle="1" w:styleId="af">
    <w:name w:val="Текст выноски Знак"/>
    <w:basedOn w:val="a0"/>
    <w:link w:val="ae"/>
    <w:uiPriority w:val="99"/>
    <w:semiHidden/>
    <w:rsid w:val="004B5FC7"/>
    <w:rPr>
      <w:sz w:val="0"/>
      <w:szCs w:val="0"/>
      <w:lang w:eastAsia="en-US"/>
    </w:rPr>
  </w:style>
  <w:style w:type="paragraph" w:styleId="af0">
    <w:name w:val="header"/>
    <w:basedOn w:val="a"/>
    <w:link w:val="af1"/>
    <w:uiPriority w:val="99"/>
    <w:rsid w:val="00E74F7F"/>
    <w:pPr>
      <w:tabs>
        <w:tab w:val="center" w:pos="4819"/>
        <w:tab w:val="right" w:pos="9639"/>
      </w:tabs>
    </w:pPr>
  </w:style>
  <w:style w:type="character" w:customStyle="1" w:styleId="af1">
    <w:name w:val="Верхний колонтитул Знак"/>
    <w:basedOn w:val="a0"/>
    <w:link w:val="af0"/>
    <w:uiPriority w:val="99"/>
    <w:semiHidden/>
    <w:rsid w:val="004B5FC7"/>
    <w:rPr>
      <w:sz w:val="28"/>
      <w:lang w:eastAsia="en-US"/>
    </w:rPr>
  </w:style>
  <w:style w:type="character" w:styleId="af2">
    <w:name w:val="page number"/>
    <w:basedOn w:val="a0"/>
    <w:uiPriority w:val="99"/>
    <w:rsid w:val="00E74F7F"/>
    <w:rPr>
      <w:rFonts w:cs="Times New Roman"/>
    </w:rPr>
  </w:style>
  <w:style w:type="character" w:styleId="af3">
    <w:name w:val="FollowedHyperlink"/>
    <w:basedOn w:val="a0"/>
    <w:uiPriority w:val="99"/>
    <w:semiHidden/>
    <w:unhideWhenUsed/>
    <w:rsid w:val="0091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pections.gov.ua/" TargetMode="External"/><Relationship Id="rId11" Type="http://schemas.openxmlformats.org/officeDocument/2006/relationships/hyperlink" Target="https://inspections.gov.ua/ready4/publication/view?id=50"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2648</Words>
  <Characters>19355</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До уваги суб’єктів господарювання</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суб’єктів господарювання</dc:title>
  <dc:subject/>
  <dc:creator>muller@voliacable.com</dc:creator>
  <cp:keywords/>
  <dc:description/>
  <cp:lastModifiedBy>Користувач Windows</cp:lastModifiedBy>
  <cp:revision>5</cp:revision>
  <dcterms:created xsi:type="dcterms:W3CDTF">2021-09-07T13:28:00Z</dcterms:created>
  <dcterms:modified xsi:type="dcterms:W3CDTF">2021-09-10T08:01:00Z</dcterms:modified>
</cp:coreProperties>
</file>